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" w:cs=""/>
          <w:b/>
          <w:b/>
          <w:bCs/>
          <w:sz w:val="22"/>
          <w:szCs w:val="22"/>
        </w:rPr>
      </w:pPr>
      <w:r>
        <w:rPr>
          <w:rFonts w:eastAsia="" w:cs="" w:ascii="Calibri" w:hAnsi="Calibri" w:asciiTheme="minorHAnsi" w:cstheme="minorBidi" w:eastAsiaTheme="minorEastAsia" w:hAnsiTheme="minorHAnsi"/>
          <w:b/>
          <w:bCs/>
          <w:sz w:val="22"/>
          <w:szCs w:val="22"/>
        </w:rPr>
        <w:t>SÚMULA DA 01ª REUNIÃO EXTRAORDINÁRIA DA COMISSÃO DE ATHIS-CAU/RJ</w:t>
      </w:r>
    </w:p>
    <w:p>
      <w:pPr>
        <w:pStyle w:val="Normal"/>
        <w:rPr>
          <w:rFonts w:ascii="Calibri" w:hAnsi="Calibri" w:eastAsia="" w:cs=""/>
          <w:smallCaps/>
          <w:sz w:val="22"/>
          <w:szCs w:val="22"/>
        </w:rPr>
      </w:pPr>
      <w:r>
        <w:rPr>
          <w:rFonts w:eastAsia="" w:cs="" w:cstheme="minorBidi" w:eastAsiaTheme="minorEastAsia" w:ascii="Calibri" w:hAnsi="Calibri"/>
          <w:smallCaps/>
          <w:sz w:val="22"/>
          <w:szCs w:val="22"/>
        </w:rPr>
      </w:r>
    </w:p>
    <w:tbl>
      <w:tblPr>
        <w:tblStyle w:val="Tabelacomgrade"/>
        <w:tblW w:w="920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3905"/>
        <w:gridCol w:w="1410"/>
        <w:gridCol w:w="2079"/>
      </w:tblGrid>
      <w:tr>
        <w:trPr>
          <w:trHeight w:val="271" w:hRule="atLeast"/>
        </w:trPr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21 de junho de 2023, quarta-feira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HORÁRIO:</w:t>
            </w:r>
          </w:p>
        </w:tc>
        <w:tc>
          <w:tcPr>
            <w:tcW w:w="2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12h20min às 13h52min</w:t>
            </w:r>
          </w:p>
        </w:tc>
      </w:tr>
      <w:tr>
        <w:trPr>
          <w:trHeight w:val="271" w:hRule="atLeast"/>
        </w:trPr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Reunião remota, realizada por meio de videoconferência</w:t>
            </w:r>
          </w:p>
        </w:tc>
      </w:tr>
      <w:tr>
        <w:trPr>
          <w:trHeight w:val="262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single" w:sz="4" w:space="0" w:color="FFFFFF"/>
              <w:right w:val="single" w:sz="4" w:space="0" w:color="FFFFFF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b/>
                <w:b/>
                <w:bCs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1812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PARTICIPANTES</w:t>
            </w:r>
          </w:p>
        </w:tc>
        <w:tc>
          <w:tcPr>
            <w:tcW w:w="3905" w:type="dxa"/>
            <w:tcBorders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color w:val="000000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Leslie Loreto Mora Gonzalez</w:t>
            </w:r>
          </w:p>
        </w:tc>
        <w:tc>
          <w:tcPr>
            <w:tcW w:w="3489" w:type="dxa"/>
            <w:gridSpan w:val="2"/>
            <w:tcBorders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Ausente</w:t>
            </w:r>
          </w:p>
        </w:tc>
      </w:tr>
      <w:tr>
        <w:trPr>
          <w:trHeight w:val="281" w:hRule="atLeast"/>
        </w:trPr>
        <w:tc>
          <w:tcPr>
            <w:tcW w:w="181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Ausente</w:t>
            </w:r>
          </w:p>
        </w:tc>
      </w:tr>
      <w:tr>
        <w:trPr>
          <w:trHeight w:val="185" w:hRule="atLeast"/>
        </w:trPr>
        <w:tc>
          <w:tcPr>
            <w:tcW w:w="181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>
        <w:trPr>
          <w:trHeight w:val="185" w:hRule="atLeast"/>
        </w:trPr>
        <w:tc>
          <w:tcPr>
            <w:tcW w:w="181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>
        <w:trPr>
          <w:trHeight w:val="185" w:hRule="atLeast"/>
        </w:trPr>
        <w:tc>
          <w:tcPr>
            <w:tcW w:w="181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Sandra Kokudai</w:t>
            </w:r>
          </w:p>
        </w:tc>
        <w:tc>
          <w:tcPr>
            <w:tcW w:w="348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>
        <w:trPr>
          <w:trHeight w:val="70" w:hRule="atLeast"/>
        </w:trPr>
        <w:tc>
          <w:tcPr>
            <w:tcW w:w="181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Carla Belmonte (Assessora de Comissões)</w:t>
            </w:r>
          </w:p>
        </w:tc>
        <w:tc>
          <w:tcPr>
            <w:tcW w:w="3489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>
        <w:trPr>
          <w:trHeight w:val="70" w:hRule="atLeast"/>
        </w:trPr>
        <w:tc>
          <w:tcPr>
            <w:tcW w:w="181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pt-BR" w:eastAsia="en-US" w:bidi="ar-SA"/>
              </w:rPr>
            </w:pPr>
            <w:r>
              <w:rPr>
                <w:kern w:val="0"/>
                <w:lang w:val="pt-BR" w:eastAsia="en-US" w:bidi="ar-SA"/>
              </w:rPr>
            </w:r>
          </w:p>
        </w:tc>
        <w:tc>
          <w:tcPr>
            <w:tcW w:w="3905" w:type="dxa"/>
            <w:tcBorders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Amanda da Silva Freitas (Analista Técnica)</w:t>
            </w:r>
          </w:p>
        </w:tc>
        <w:tc>
          <w:tcPr>
            <w:tcW w:w="3489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Presente (remoto)</w:t>
            </w:r>
          </w:p>
        </w:tc>
      </w:tr>
      <w:tr>
        <w:trPr>
          <w:trHeight w:val="70" w:hRule="atLeast"/>
        </w:trPr>
        <w:tc>
          <w:tcPr>
            <w:tcW w:w="181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MS Mincho" w:cs="Calibri"/>
                <w:sz w:val="22"/>
                <w:szCs w:val="22"/>
              </w:rPr>
            </w:pPr>
            <w:r>
              <w:rPr>
                <w:rFonts w:eastAsia="MS Mincho"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3905" w:type="dxa"/>
            <w:tcBorders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Ricardo Gouvea (Gerente Geral)</w:t>
            </w:r>
          </w:p>
        </w:tc>
        <w:tc>
          <w:tcPr>
            <w:tcW w:w="3489" w:type="dxa"/>
            <w:gridSpan w:val="2"/>
            <w:tcBorders>
              <w:lef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Ausente</w:t>
            </w:r>
          </w:p>
        </w:tc>
      </w:tr>
      <w:tr>
        <w:trPr>
          <w:trHeight w:val="271" w:hRule="atLeast"/>
        </w:trPr>
        <w:tc>
          <w:tcPr>
            <w:tcW w:w="9206" w:type="dxa"/>
            <w:gridSpan w:val="4"/>
            <w:tcBorders>
              <w:left w:val="nil"/>
              <w:bottom w:val="single" w:sz="4" w:space="0" w:color="A6A6A6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743" w:hanging="383"/>
              <w:contextualSpacing/>
              <w:jc w:val="left"/>
              <w:rPr>
                <w:rFonts w:ascii="Calibri" w:hAnsi="Calibri" w:eastAsia="" w:cs=""/>
                <w:b/>
                <w:b/>
                <w:bCs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 xml:space="preserve">      </w:t>
            </w:r>
            <w:r>
              <w:rPr>
                <w:rFonts w:eastAsia="" w:cs="" w:ascii="Calibri" w:hAnsi="Calibri" w:asciiTheme="minorHAnsi" w:cstheme="minorBidi" w:eastAsiaTheme="minorEastAsia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Verificação de quórum e pauta</w:t>
            </w:r>
          </w:p>
        </w:tc>
      </w:tr>
      <w:tr>
        <w:trPr>
          <w:trHeight w:val="996" w:hRule="atLeast"/>
        </w:trPr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" w:cs=""/>
                <w:b/>
                <w:b/>
                <w:bCs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kern w:val="0"/>
                <w:sz w:val="22"/>
                <w:szCs w:val="22"/>
                <w:lang w:val="pt-BR" w:eastAsia="en-US" w:bidi="ar-SA"/>
              </w:rPr>
              <w:t>Verificado o quórum para início da reunião às 12h20min, com os conselheiros acima nominados. A pauta foi: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Calibri" w:hAnsi="Calibri" w:eastAsia="" w:cs=""/>
                <w:color w:val="000000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Fórum de ATHIS.</w:t>
            </w:r>
          </w:p>
        </w:tc>
      </w:tr>
      <w:tr>
        <w:trPr>
          <w:trHeight w:val="70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484" w:leader="none"/>
                <w:tab w:val="left" w:pos="2249" w:leader="none"/>
              </w:tabs>
              <w:spacing w:before="0" w:after="0"/>
              <w:jc w:val="both"/>
              <w:rPr>
                <w:rFonts w:ascii="Calibri" w:hAnsi="Calibri" w:eastAsia="" w:cs=""/>
                <w:sz w:val="22"/>
                <w:szCs w:val="22"/>
              </w:rPr>
            </w:pPr>
            <w:r>
              <w:rPr>
                <w:rFonts w:eastAsia="" w:cs="" w:cstheme="minorBidi" w:eastAsiaTheme="minorEastAsia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98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" w:cs="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Fórum de ATHIS (14/07)</w:t>
            </w:r>
          </w:p>
        </w:tc>
      </w:tr>
      <w:tr>
        <w:trPr>
          <w:trHeight w:val="214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>Programação fechada: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FÓRUM ATHIS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DATA: 14/07 HORÁRIO: 15H - 19H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Tema: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A importância da ATHIS como parte da política urbana/habitacional.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Mesa de Abertura – CAU (CATHIS)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30min ao todo, dividir as falas.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Sugestão de nomes: Presidente Pablo (CAU/RJ); Maíra (CAU/BR); Emmily (CATHIS)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Mesa de Debate A importância da ATHIS como parte da política urbana/habitacional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 – </w:t>
            </w: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1 movimento social (UMP? MNLM? CMP?) + representante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órgão público municipal + Universidades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60min ao todo, dividir as falas.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Mediação: CATHIS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Sugestão de nomes: Adriana Lima (Sec de Ação Comunitária - PCRJ); Lisandra (BH);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MNLM; Observatório de Favelas; ver outros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3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Fazer grupos de discussão – 3 temas – 1h para discussão nos grupos, no final eles apresentam um resumo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- ATHIS e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shd w:fill="FFFFFF" w:val="clear"/>
                <w:lang w:val="pt-BR" w:eastAsia="pt-BR" w:bidi="ar-SA"/>
              </w:rPr>
              <w:t>interdisciplinaridade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  (Defensoria, OAB, Universidades; Cons. Tanya)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- ATHIS e autogestão (Movimento de Moradia, CATHIS/CAU)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- ATHIS nos municípios (Representantes dos órgãos públicos e projetos contemplados com articulação com municípios).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4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pt-BR" w:eastAsia="pt-BR" w:bidi="ar-SA"/>
              </w:rPr>
              <w:t>Mesa final – Retorno dos grupos, com falas para cada um relatar o que discutiu – 30min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Times New Roman" w:cs="Calibri"/>
                <w:sz w:val="22"/>
                <w:szCs w:val="22"/>
                <w:lang w:eastAsia="pt-BR"/>
              </w:rPr>
            </w:pPr>
            <w:r>
              <w:rPr>
                <w:rFonts w:eastAsia="Times New Roman" w:cs="Calibri" w:ascii="Calibri" w:hAnsi="Calibri"/>
                <w:color w:val="000000"/>
                <w:kern w:val="0"/>
                <w:sz w:val="22"/>
                <w:szCs w:val="22"/>
                <w:lang w:val="pt-BR" w:eastAsia="pt-BR" w:bidi="ar-SA"/>
              </w:rPr>
              <w:t>Lançar uma espécie de “documento do FORUM sobre ATHIS”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eastAsia="" w:cs=""/>
                <w:sz w:val="22"/>
                <w:szCs w:val="22"/>
                <w:lang w:eastAsia="pt-BR"/>
              </w:rPr>
            </w:pPr>
            <w:r>
              <w:rPr>
                <w:rFonts w:eastAsia="" w:cs="" w:cstheme="minorBidi" w:eastAsiaTheme="minorEastAsia" w:ascii="Calibri" w:hAnsi="Calibri"/>
                <w:kern w:val="0"/>
                <w:sz w:val="22"/>
                <w:szCs w:val="22"/>
                <w:lang w:val="pt-BR" w:eastAsia="pt-BR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0"/>
                <w:kern w:val="0"/>
                <w:sz w:val="22"/>
                <w:szCs w:val="22"/>
                <w:lang w:val="pt-BR" w:eastAsia="en-US" w:bidi="ar-SA"/>
              </w:rPr>
              <w:t>Encaminhamentos: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Após verificar a viabilidade de se adquirir passagem aérea para a Lisandra, Emmily irá fazer o convite formal;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Sobre os movimentos, Sandra irá conversar com Ricardo e Lucas para definição dos nomes dos movimentos, sendo uma possibilidade o MNLM e o Observatório das Favelas – prazo até 28/06;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Sandra irá falar com Adriana Lima e Emmily com o Observatório das Favelas;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Emmily irá solicitar ao Nicolas, via e-mail, arte / pdf com a programação do evento;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Emmily irá solicitar ao Nicolas, via e-mail, ajuste do card para incluir o tema do evento;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Sofia irá elaborar o formulário de inscrição no Google Forms, incluindo campo para o grupo de discussão que gostaria de participar;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Emmily vai procurar planilha com lista de e-mails, lista de entidades que participaram dos chamamentos; lista de contato de quem participou do último evento;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Gabinete irá enviar convite aos CAU/UF e CAU/BR (despesas a cargo de cada CAU) – ver modelo com CATHIS – enviar arte com programação (sem nomes) e card + formulário;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Gabinete irá enviar convite para a lista de e-mails da CATHIS + formulário + arte com programação + card;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Sofia e Sandra deverão levar, para o Seminário Nacional, o documento do FORUM sobre ATHIS;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Carla vai compartilhar a planilha de projetos de ATHIS.</w:t>
            </w:r>
          </w:p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rFonts w:ascii="Calibri" w:hAnsi="Calibri" w:eastAsia="" w:cs=""/>
                <w:sz w:val="22"/>
                <w:szCs w:val="22"/>
                <w:lang w:eastAsia="pt-BR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pt-BR" w:eastAsia="en-US" w:bidi="ar-SA"/>
              </w:rPr>
              <w:t>- Próxima reunião será feita informalmente, para fechar a programação e o evento.</w:t>
            </w:r>
          </w:p>
        </w:tc>
      </w:tr>
      <w:tr>
        <w:trPr>
          <w:trHeight w:val="70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  <w:tab w:val="left" w:pos="484" w:leader="none"/>
                <w:tab w:val="left" w:pos="2249" w:leader="none"/>
              </w:tabs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271" w:hRule="atLeast"/>
        </w:trPr>
        <w:tc>
          <w:tcPr>
            <w:tcW w:w="920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57150</wp:posOffset>
                  </wp:positionV>
                  <wp:extent cx="635" cy="33655"/>
                  <wp:effectExtent l="0" t="0" r="0" b="0"/>
                  <wp:wrapNone/>
                  <wp:docPr id="1" name="Tinta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nta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3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MS Mincho" w:cs="" w:ascii="Calibri" w:hAnsi="Calibri" w:asciiTheme="minorHAnsi" w:cstheme="minorBidi" w:hAnsi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Verificação de quórum – encerramento</w:t>
            </w:r>
          </w:p>
        </w:tc>
      </w:tr>
      <w:tr>
        <w:trPr>
          <w:trHeight w:val="70" w:hRule="atLeast"/>
        </w:trPr>
        <w:tc>
          <w:tcPr>
            <w:tcW w:w="1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MS Mincho" w:cs="Calibri"/>
                <w:b/>
                <w:b/>
                <w:sz w:val="22"/>
                <w:szCs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pt-BR" w:eastAsia="en-US" w:bidi="ar-SA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pt-BR" w:eastAsia="en-US" w:bidi="ar-SA"/>
              </w:rPr>
              <w:t>A reunião foi encerrada às 13h:52min com</w:t>
            </w:r>
            <w:bookmarkStart w:id="0" w:name="_GoBack"/>
            <w:bookmarkEnd w:id="0"/>
            <w:r>
              <w:rPr>
                <w:rFonts w:cs="" w:ascii="Calibri" w:hAnsi="Calibri" w:asciiTheme="minorHAnsi" w:cstheme="minorBidi" w:hAnsiTheme="minorHAnsi"/>
                <w:kern w:val="0"/>
                <w:sz w:val="22"/>
                <w:szCs w:val="22"/>
                <w:lang w:val="pt-BR" w:eastAsia="en-US" w:bidi="ar-SA"/>
              </w:rPr>
              <w:t xml:space="preserve"> os(as) participantes acima nominados(as).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3"/>
      </w:tblGrid>
      <w:tr>
        <w:trPr/>
        <w:tc>
          <w:tcPr>
            <w:tcW w:w="9213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</w:rPr>
              <w:t>Emmily Leandro Castro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Coordenadora de ATHIS -CAU/RJ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134" w:gutter="0" w:header="1418" w:top="2268" w:footer="567" w:bottom="156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axCondensed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SCN Qd.01, Bloco E, Ed. Central Park, Salas 302/303 | CEP: 70711-903 Brasília/DF | Tel.: (61) 3326-2272 / 2297 - 3328-5632 / 5946</w:t>
    </w:r>
  </w:p>
  <w:p>
    <w:pPr>
      <w:pStyle w:val="Rodap"/>
      <w:tabs>
        <w:tab w:val="clear" w:pos="4320"/>
        <w:tab w:val="clear" w:pos="8640"/>
        <w:tab w:val="left" w:pos="1820" w:leader="none"/>
      </w:tabs>
      <w:spacing w:lineRule="auto" w:line="288"/>
      <w:ind w:left="-426" w:right="-221" w:hanging="0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320" w:leader="none"/>
        <w:tab w:val="right" w:pos="8640" w:leader="none"/>
      </w:tabs>
      <w:spacing w:lineRule="auto" w:line="276" w:before="0" w:after="120"/>
      <w:ind w:left="-1701" w:right="-1134" w:hanging="0"/>
      <w:jc w:val="center"/>
      <w:rPr>
        <w:rFonts w:ascii="Arial" w:hAnsi="Arial" w:cs="Arial"/>
        <w:b/>
        <w:b/>
        <w:color w:val="2C778C"/>
      </w:rPr>
    </w:pPr>
    <w:r>
      <w:rPr>
        <w:rFonts w:cs="Arial" w:ascii="Arial" w:hAnsi="Arial"/>
        <w:b/>
        <w:color w:val="2C778C"/>
      </w:rPr>
      <w:t>_________________________________________________________________________________________</w:t>
    </w:r>
    <w:r>
      <w:rPr/>
      <w:t xml:space="preserve">   </w:t>
    </w:r>
  </w:p>
  <w:p>
    <w:pPr>
      <w:pStyle w:val="Rodap"/>
      <w:rPr>
        <w:color w:val="376C71"/>
      </w:rPr>
    </w:pPr>
    <w:r>
      <w:rPr/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  <w:p>
    <w:pPr>
      <w:pStyle w:val="Rodap"/>
      <w:tabs>
        <w:tab w:val="clear" w:pos="8640"/>
        <w:tab w:val="center" w:pos="4320" w:leader="none"/>
        <w:tab w:val="right" w:pos="9065" w:leader="none"/>
      </w:tabs>
      <w:ind w:left="-567" w:hanging="0"/>
      <w:rPr>
        <w:rFonts w:ascii="DaxCondensed" w:hAnsi="DaxCondensed" w:cs="Arial"/>
        <w:color w:val="2C778C"/>
        <w:sz w:val="20"/>
        <w:szCs w:val="20"/>
      </w:rPr>
    </w:pPr>
    <w:r>
      <w:rPr>
        <w:rFonts w:cs="Arial" w:ascii="DaxCondensed" w:hAnsi="DaxCondensed"/>
        <w:color w:val="2C778C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587" w:hanging="0"/>
      <w:rPr>
        <w:color w:val="296D7A"/>
      </w:rPr>
    </w:pPr>
    <w:r>
      <w:rPr>
        <w:color w:val="296D7A"/>
        <w:lang w:val="en-US"/>
      </w:rP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320"/>
        <w:tab w:val="clear" w:pos="8640"/>
        <w:tab w:val="left" w:pos="3540" w:leader="none"/>
      </w:tabs>
      <w:ind w:left="2694" w:hanging="0"/>
      <w:rPr>
        <w:rFonts w:ascii="DaxCondensed" w:hAnsi="DaxCondensed" w:cs="Arial"/>
        <w:color w:val="386C71"/>
        <w:sz w:val="20"/>
        <w:szCs w:val="20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4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DaxCondensed" w:hAnsi="DaxCondensed"/>
        <w:color w:val="386C71"/>
        <w:sz w:val="20"/>
        <w:szCs w:val="20"/>
      </w:rPr>
      <w:tab/>
    </w:r>
  </w:p>
  <w:p>
    <w:pPr>
      <w:pStyle w:val="Cabealho"/>
      <w:ind w:left="2694" w:hanging="0"/>
      <w:rPr>
        <w:rFonts w:ascii="DaxCondensed" w:hAnsi="DaxCondensed" w:cs="Arial"/>
        <w:color w:val="386C71"/>
        <w:sz w:val="20"/>
        <w:szCs w:val="20"/>
      </w:rPr>
    </w:pPr>
    <w:r>
      <w:rPr>
        <w:rFonts w:cs="Arial" w:ascii="DaxCondensed" w:hAnsi="DaxCondensed"/>
        <w:color w:val="386C71"/>
        <w:sz w:val="20"/>
        <w:szCs w:val="20"/>
      </w:rPr>
      <w:t>Súmula da Comissão de Assistência Técnica - ATHIS</w:t>
    </w:r>
  </w:p>
  <w:p>
    <w:pPr>
      <w:pStyle w:val="Cabealho"/>
      <w:ind w:left="587" w:hanging="0"/>
      <w:rPr>
        <w:rFonts w:ascii="Arial" w:hAnsi="Arial"/>
        <w:color w:val="296D7A"/>
        <w:sz w:val="22"/>
      </w:rPr>
    </w:pPr>
    <w:r>
      <w:rPr>
        <w:rFonts w:ascii="Arial" w:hAnsi="Arial"/>
        <w:color w:val="296D7A"/>
        <w:sz w:val="22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DaxCondensed" w:hAnsi="DaxCondensed"/>
        <w:color w:val="386C71"/>
        <w:sz w:val="20"/>
        <w:szCs w:val="20"/>
      </w:rPr>
      <w:t>Comissão de Assistência Técnica - ATHIS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MS Mincho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72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661"/>
    <w:pPr>
      <w:widowControl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RodapChar" w:customStyle="1">
    <w:name w:val="Rodapé Char"/>
    <w:basedOn w:val="DefaultParagraphFont"/>
    <w:qFormat/>
    <w:rsid w:val="004c3048"/>
    <w:rPr>
      <w:rFonts w:ascii="Cambria" w:hAnsi="Cambria" w:eastAsia="Cambria" w:cs="Times New Roman"/>
      <w:sz w:val="24"/>
      <w:szCs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4c3048"/>
    <w:rPr>
      <w:rFonts w:ascii="Cambria" w:hAnsi="Cambria" w:eastAsia="Cambria" w:cs="Times New Roman"/>
      <w:sz w:val="20"/>
      <w:szCs w:val="20"/>
    </w:rPr>
  </w:style>
  <w:style w:type="character" w:styleId="Caracteresdenotaderodap">
    <w:name w:val="Caracteres de nota de rodapé"/>
    <w:basedOn w:val="DefaultParagraphFont"/>
    <w:uiPriority w:val="99"/>
    <w:semiHidden/>
    <w:unhideWhenUsed/>
    <w:qFormat/>
    <w:rsid w:val="004c3048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LinkdaInternet">
    <w:name w:val="Hyperlink"/>
    <w:basedOn w:val="DefaultParagraphFont"/>
    <w:uiPriority w:val="99"/>
    <w:unhideWhenUsed/>
    <w:rsid w:val="00b63c2e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33ad2"/>
    <w:rPr>
      <w:rFonts w:ascii="Tahoma" w:hAnsi="Tahoma" w:eastAsia="Cambri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qFormat/>
    <w:rsid w:val="00b309b7"/>
    <w:rPr/>
  </w:style>
  <w:style w:type="character" w:styleId="Appleconvertedspace" w:customStyle="1">
    <w:name w:val="apple-converted-space"/>
    <w:basedOn w:val="DefaultParagraphFont"/>
    <w:qFormat/>
    <w:rsid w:val="00483414"/>
    <w:rPr/>
  </w:style>
  <w:style w:type="character" w:styleId="SubtleEmphasis">
    <w:name w:val="Subtle Emphasis"/>
    <w:qFormat/>
    <w:rsid w:val="00af1451"/>
    <w:rPr>
      <w:i/>
      <w:iCs/>
      <w:color w:val="404040"/>
    </w:rPr>
  </w:style>
  <w:style w:type="character" w:styleId="Strong">
    <w:name w:val="Strong"/>
    <w:basedOn w:val="DefaultParagraphFont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DefaultParagraphFont"/>
    <w:qFormat/>
    <w:rsid w:val="00bc082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47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a54736"/>
    <w:rPr>
      <w:rFonts w:ascii="Cambria" w:hAnsi="Cambria" w:eastAsia="Cambria" w:cs="Times New Roman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11a77"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e7d2a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c5693d"/>
    <w:rPr>
      <w:color w:val="605E5C"/>
      <w:shd w:fill="E1DFDD" w:val="clear"/>
    </w:rPr>
  </w:style>
  <w:style w:type="character" w:styleId="Linkdainternetvisitado">
    <w:name w:val="FollowedHyperlink"/>
    <w:basedOn w:val="DefaultParagraphFont"/>
    <w:uiPriority w:val="99"/>
    <w:semiHidden/>
    <w:unhideWhenUsed/>
    <w:rsid w:val="00fe37d5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1594a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a972e4"/>
    <w:rPr/>
  </w:style>
  <w:style w:type="character" w:styleId="Eop" w:customStyle="1">
    <w:name w:val="eop"/>
    <w:basedOn w:val="DefaultParagraphFont"/>
    <w:qFormat/>
    <w:rsid w:val="00a972e4"/>
    <w:rPr/>
  </w:style>
  <w:style w:type="character" w:styleId="Textrun" w:customStyle="1">
    <w:name w:val="textrun"/>
    <w:basedOn w:val="DefaultParagraphFont"/>
    <w:qFormat/>
    <w:rsid w:val="00a53d83"/>
    <w:rPr/>
  </w:style>
  <w:style w:type="character" w:styleId="Tabrun" w:customStyle="1">
    <w:name w:val="tabrun"/>
    <w:basedOn w:val="DefaultParagraphFont"/>
    <w:qFormat/>
    <w:rsid w:val="00a53d83"/>
    <w:rPr/>
  </w:style>
  <w:style w:type="character" w:styleId="Tabchar" w:customStyle="1">
    <w:name w:val="tabchar"/>
    <w:basedOn w:val="DefaultParagraphFont"/>
    <w:qFormat/>
    <w:rsid w:val="00a53d83"/>
    <w:rPr/>
  </w:style>
  <w:style w:type="character" w:styleId="Tableaderchars" w:customStyle="1">
    <w:name w:val="tableaderchars"/>
    <w:basedOn w:val="DefaultParagraphFont"/>
    <w:qFormat/>
    <w:rsid w:val="00a53d8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nhideWhenUsed/>
    <w:rsid w:val="004c3048"/>
    <w:pPr>
      <w:tabs>
        <w:tab w:val="clear" w:pos="708"/>
        <w:tab w:val="center" w:pos="4320" w:leader="none"/>
        <w:tab w:val="right" w:pos="8640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4c3048"/>
    <w:pPr/>
    <w:rPr>
      <w:sz w:val="20"/>
      <w:szCs w:val="20"/>
    </w:rPr>
  </w:style>
  <w:style w:type="paragraph" w:styleId="ListParagraph">
    <w:name w:val="List Paragraph"/>
    <w:basedOn w:val="Normal"/>
    <w:uiPriority w:val="72"/>
    <w:qFormat/>
    <w:rsid w:val="0025277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33ad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7105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5473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54736"/>
    <w:pPr/>
    <w:rPr>
      <w:b/>
      <w:bCs/>
    </w:rPr>
  </w:style>
  <w:style w:type="paragraph" w:styleId="Paragraph" w:customStyle="1">
    <w:name w:val="paragraph"/>
    <w:basedOn w:val="Normal"/>
    <w:qFormat/>
    <w:rsid w:val="00a972e4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7" ma:contentTypeDescription="Crie um novo documento." ma:contentTypeScope="" ma:versionID="e17922fbd12a95e0f27c08c57662f545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e65f1697bb3e8a9f4225cf20474b45da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8036-7E11-4838-BE6C-94B35EC3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67A8B-7A82-4F95-AC05-B596C818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Application>LibreOffice/7.4.5.1$Windows_X86_64 LibreOffice_project/9c0871452b3918c1019dde9bfac75448afc4b57f</Application>
  <AppVersion>15.0000</AppVersion>
  <Pages>2</Pages>
  <Words>595</Words>
  <Characters>3399</Characters>
  <CharactersWithSpaces>3944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2023-05-11T18:31:00Z</dcterms:created>
  <dc:creator>Renata Antão</dc:creator>
  <dc:description/>
  <dc:language>pt-BR</dc:language>
  <cp:lastModifiedBy/>
  <cp:lastPrinted>2021-11-11T20:15:00Z</cp:lastPrinted>
  <dcterms:modified xsi:type="dcterms:W3CDTF">2023-11-27T17:05:27Z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0x010100ED982B5356E19447B5FB066288D43339</vt:lpwstr>
  </property>
  <property fmtid="{D5CDD505-2E9C-101B-9397-08002B2CF9AE}" pid="3" name="_DocHome">
    <vt:i4>1699323113</vt:i4>
  </property>
</Properties>
</file>