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Eop"/>
          <w:rFonts w:ascii="Calibri" w:hAnsi="Calibri" w:cs="Calibri"/>
          <w:color w:val="000000"/>
          <w:sz w:val="22"/>
          <w:szCs w:val="22"/>
          <w:shd w:fill="FFFFFF" w:val="clear"/>
        </w:rPr>
      </w:pPr>
      <w:r>
        <w:rPr>
          <w:rStyle w:val="Normaltextrun"/>
          <w:rFonts w:cs="Calibri" w:ascii="Calibri" w:hAnsi="Calibri" w:asciiTheme="minorAscii" w:cstheme="minorAscii" w:hAnsiTheme="minorAscii"/>
          <w:b/>
          <w:bCs/>
          <w:color w:val="000000"/>
          <w:sz w:val="22"/>
          <w:szCs w:val="22"/>
          <w:shd w:fill="FFFFFF" w:val="clear"/>
        </w:rPr>
        <w:t>SÚMULA </w:t>
      </w:r>
      <w:r>
        <w:rPr>
          <w:rStyle w:val="Normaltextrun"/>
          <w:rFonts w:cs="Calibri" w:ascii="Calibri" w:hAnsi="Calibri" w:asciiTheme="minorAscii" w:cstheme="minorAscii" w:hAnsiTheme="minorAscii"/>
          <w:b/>
          <w:bCs/>
          <w:color w:val="000000"/>
          <w:sz w:val="22"/>
          <w:szCs w:val="22"/>
          <w:shd w:fill="FFFFFF" w:val="clear"/>
        </w:rPr>
        <w:t>7</w:t>
      </w:r>
      <w:r>
        <w:rPr>
          <w:rStyle w:val="Normaltextrun"/>
          <w:rFonts w:cs="Calibri" w:ascii="Calibri" w:hAnsi="Calibri" w:asciiTheme="minorAscii" w:cstheme="minorAscii" w:hAnsiTheme="minorAscii"/>
          <w:b/>
          <w:bCs/>
          <w:color w:val="000000"/>
          <w:sz w:val="22"/>
          <w:szCs w:val="22"/>
          <w:shd w:fill="FFFFFF" w:val="clear"/>
        </w:rPr>
        <w:t>ª REUNIÃO ORDINÁRIA DA CED-CAU/RJ</w:t>
      </w:r>
    </w:p>
    <w:p>
      <w:pPr>
        <w:pStyle w:val="Normal"/>
        <w:rPr>
          <w:rFonts w:ascii="Calibri" w:hAnsi="Calibri" w:eastAsia="MS Mincho" w:cs="Calibri"/>
          <w:smallCaps/>
          <w:sz w:val="22"/>
          <w:szCs w:val="22"/>
        </w:rPr>
      </w:pPr>
      <w:r>
        <w:rPr>
          <w:rFonts w:eastAsia="MS Mincho" w:cs="Calibri" w:ascii="Calibri" w:hAnsi="Calibri"/>
          <w:smallCaps/>
          <w:sz w:val="22"/>
          <w:szCs w:val="22"/>
        </w:rPr>
      </w:r>
    </w:p>
    <w:tbl>
      <w:tblPr>
        <w:tblStyle w:val="Tabelacomgrade"/>
        <w:tblW w:w="999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0"/>
        <w:gridCol w:w="2"/>
        <w:gridCol w:w="3520"/>
        <w:gridCol w:w="3138"/>
      </w:tblGrid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FFFFFF"/>
              <w:right w:val="single" w:sz="4" w:space="0" w:color="FFFFFF"/>
            </w:tcBorders>
          </w:tcPr>
          <w:tbl>
            <w:tblPr>
              <w:tblStyle w:val="Tabelacomgrade"/>
              <w:tblW w:w="97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38"/>
              <w:gridCol w:w="3834"/>
              <w:gridCol w:w="1300"/>
              <w:gridCol w:w="2808"/>
            </w:tblGrid>
            <w:tr>
              <w:trPr/>
              <w:tc>
                <w:tcPr>
                  <w:tcW w:w="18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DATA:</w:t>
                  </w:r>
                </w:p>
              </w:tc>
              <w:tc>
                <w:tcPr>
                  <w:tcW w:w="38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eastAsia="MS Mincho" w:cs="Calibri" w:ascii="Calibri" w:hAnsi="Calibri" w:asciiTheme="minorAscii" w:cstheme="minorAscii" w:hAnsi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17 de agosto de 2023, quinta-feira</w:t>
                  </w:r>
                </w:p>
              </w:tc>
              <w:tc>
                <w:tcPr>
                  <w:tcW w:w="130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right" w:pos="2592" w:leader="none"/>
                    </w:tabs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15:15 até 17h35</w:t>
                    <w:tab/>
                  </w:r>
                </w:p>
              </w:tc>
            </w:tr>
            <w:tr>
              <w:trPr/>
              <w:tc>
                <w:tcPr>
                  <w:tcW w:w="18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eastAsia="MS Mincho" w:cs="Calibri" w:ascii="Calibri" w:hAnsi="Calibri" w:asciiTheme="minorHAnsi" w:cstheme="minorHAnsi" w:hAnsi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LOCAL:</w:t>
                  </w:r>
                </w:p>
              </w:tc>
              <w:tc>
                <w:tcPr>
                  <w:tcW w:w="7942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eastAsia="MS Mincho" w:cs="Calibri" w:ascii="Calibri" w:hAnsi="Calibri" w:asciiTheme="minorAscii" w:cstheme="minorAscii" w:hAnsi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Reunião híbrida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Carla Cabral D. Alonso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 </w:t>
            </w: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(Suplente)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Remotamente</w:t>
            </w:r>
          </w:p>
        </w:tc>
      </w:tr>
      <w:tr>
        <w:trPr>
          <w:trHeight w:val="185" w:hRule="atLeast"/>
        </w:trPr>
        <w:tc>
          <w:tcPr>
            <w:tcW w:w="33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Leonam Estrella Figueiredo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 </w:t>
            </w: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(Titular)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 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Presencialmente</w:t>
            </w:r>
          </w:p>
        </w:tc>
      </w:tr>
      <w:tr>
        <w:trPr>
          <w:trHeight w:val="185" w:hRule="atLeast"/>
        </w:trPr>
        <w:tc>
          <w:tcPr>
            <w:tcW w:w="33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Célio Alves da Silva Junior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 </w:t>
            </w: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>(Suplente)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Presencialmente</w:t>
            </w:r>
          </w:p>
        </w:tc>
      </w:tr>
      <w:tr>
        <w:trPr>
          <w:trHeight w:val="185" w:hRule="atLeast"/>
        </w:trPr>
        <w:tc>
          <w:tcPr>
            <w:tcW w:w="33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mbria" w:cs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</w:pPr>
            <w:r>
              <w:rPr>
                <w:rStyle w:val="Normaltextrun"/>
                <w:rFonts w:eastAsia="Cambria" w:cs="Calibri" w:ascii="Calibri" w:hAnsi="Calibri" w:asciiTheme="minorAscii" w:cstheme="minorAscii" w:hAnsiTheme="minorAscii"/>
                <w:b w:val="false"/>
                <w:bCs w:val="false"/>
                <w:color w:val="000000" w:themeColor="text1" w:themeShade="ff" w:themeTint="ff"/>
                <w:kern w:val="0"/>
                <w:sz w:val="22"/>
                <w:szCs w:val="22"/>
                <w:lang w:val="pt-BR" w:bidi="ar-SA"/>
              </w:rPr>
              <w:t>Angela Botelho (Titular)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Presencialmente</w:t>
            </w:r>
          </w:p>
        </w:tc>
      </w:tr>
      <w:tr>
        <w:trPr>
          <w:trHeight w:val="185" w:hRule="atLeast"/>
        </w:trPr>
        <w:tc>
          <w:tcPr>
            <w:tcW w:w="33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/>
            </w:pPr>
            <w:r>
              <w:rPr>
                <w:rStyle w:val="Normaltextrun"/>
                <w:rFonts w:eastAsia="Cambria" w:cs="Calibri" w:ascii="Calibri" w:hAnsi="Calibri" w:asciiTheme="minorAscii" w:cstheme="minorAscii" w:hAnsiTheme="minorAscii"/>
                <w:b w:val="false"/>
                <w:bCs w:val="false"/>
                <w:color w:val="000000" w:themeColor="text1" w:themeShade="ff" w:themeTint="ff"/>
                <w:kern w:val="0"/>
                <w:sz w:val="22"/>
                <w:szCs w:val="22"/>
                <w:lang w:val="pt-BR" w:bidi="ar-SA"/>
              </w:rPr>
              <w:t>Adriano Arpad Moreira</w:t>
            </w:r>
            <w:r>
              <w:rPr>
                <w:rStyle w:val="Normaltextrun"/>
                <w:rFonts w:eastAsia="Cambria" w:cs="Calibri" w:ascii="Calibri" w:hAnsi="Calibri"/>
                <w:b w:val="false"/>
                <w:bCs w:val="false"/>
                <w:color w:val="000000"/>
                <w:kern w:val="0"/>
                <w:sz w:val="22"/>
                <w:szCs w:val="22"/>
                <w:lang w:val="pt-BR" w:bidi="ar-SA"/>
              </w:rPr>
              <w:t xml:space="preserve"> (Suplente)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Remotamente</w:t>
            </w:r>
          </w:p>
        </w:tc>
      </w:tr>
      <w:tr>
        <w:trPr>
          <w:trHeight w:val="185" w:hRule="atLeast"/>
        </w:trPr>
        <w:tc>
          <w:tcPr>
            <w:tcW w:w="33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Simone Feigelson Deutsch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 </w:t>
            </w: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(Titular)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 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Remotamente</w:t>
            </w:r>
          </w:p>
        </w:tc>
      </w:tr>
      <w:tr>
        <w:trPr>
          <w:trHeight w:val="185" w:hRule="atLeast"/>
        </w:trPr>
        <w:tc>
          <w:tcPr>
            <w:tcW w:w="33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Paragraph"/>
              <w:widowControl w:val="false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Vicente de P. A. Rodrigues</w:t>
            </w:r>
            <w:r>
              <w:rPr>
                <w:rStyle w:val="Eop"/>
                <w:rFonts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 </w:t>
            </w: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(Titular)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Remotamente</w:t>
            </w:r>
          </w:p>
        </w:tc>
      </w:tr>
      <w:tr>
        <w:trPr/>
        <w:tc>
          <w:tcPr>
            <w:tcW w:w="333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3522" w:type="dxa"/>
            <w:gridSpan w:val="2"/>
            <w:tcBorders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João Balsini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3138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Especialista Jurídico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</w:tr>
      <w:tr>
        <w:trPr/>
        <w:tc>
          <w:tcPr>
            <w:tcW w:w="33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Alessandra Vandelli</w:t>
            </w:r>
          </w:p>
        </w:tc>
        <w:tc>
          <w:tcPr>
            <w:tcW w:w="3138" w:type="dxa"/>
            <w:tcBorders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Assessora Especial da Presidência</w:t>
            </w:r>
          </w:p>
        </w:tc>
      </w:tr>
      <w:tr>
        <w:trPr/>
        <w:tc>
          <w:tcPr>
            <w:tcW w:w="33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Marcelle Olimpio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Assistente Técnica</w:t>
            </w:r>
          </w:p>
        </w:tc>
      </w:tr>
      <w:tr>
        <w:trPr/>
        <w:tc>
          <w:tcPr>
            <w:tcW w:w="33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Vitória Sales</w:t>
            </w:r>
          </w:p>
        </w:tc>
        <w:tc>
          <w:tcPr>
            <w:tcW w:w="3138" w:type="dxa"/>
            <w:tcBorders>
              <w:top w:val="single" w:sz="4" w:space="0" w:color="A6A6A6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Estagiária CED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     </w:t>
            </w: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</w:t>
            </w:r>
          </w:p>
        </w:tc>
      </w:tr>
      <w:tr>
        <w:trPr/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t-BR" w:eastAsia="en-US" w:bidi="ar-SA"/>
              </w:rPr>
              <w:t>Presenças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Verificado o </w:t>
            </w:r>
            <w:r>
              <w:rPr>
                <w:rFonts w:eastAsia="MS Mincho" w:cs="Calibri" w:ascii="Calibri" w:hAnsi="Calibri" w:asciiTheme="minorAscii" w:cstheme="minorAscii" w:hAnsiTheme="minorAscii"/>
                <w:i/>
                <w:iCs/>
                <w:kern w:val="0"/>
                <w:sz w:val="22"/>
                <w:szCs w:val="22"/>
                <w:lang w:val="pt-BR" w:eastAsia="en-US" w:bidi="ar-SA"/>
              </w:rPr>
              <w:t>quórum</w:t>
            </w:r>
            <w:r>
              <w:rPr>
                <w:rFonts w:eastAsia="MS Mincho"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 para início da reunião às </w:t>
            </w:r>
            <w:r>
              <w:rPr>
                <w:rFonts w:eastAsia="MS Mincho" w:cs="Calibri" w:ascii="Calibri" w:hAnsi="Calibri" w:asciiTheme="minorAscii" w:cstheme="minorAscii" w:hAnsiTheme="minorAscii"/>
                <w:kern w:val="0"/>
                <w:sz w:val="22"/>
                <w:szCs w:val="22"/>
                <w:shd w:fill="auto" w:val="clear"/>
                <w:lang w:val="pt-BR" w:eastAsia="en-US" w:bidi="ar-SA"/>
              </w:rPr>
              <w:t>15:15,</w:t>
            </w:r>
            <w:r>
              <w:rPr>
                <w:rFonts w:eastAsia="MS Mincho"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 com os conselheiros acima nominados. </w:t>
            </w:r>
          </w:p>
        </w:tc>
      </w:tr>
      <w:tr>
        <w:trPr>
          <w:trHeight w:val="70" w:hRule="atLeast"/>
        </w:trPr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  <w:tab w:val="left" w:pos="2249" w:leader="none"/>
              </w:tabs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Ascii" w:cstheme="minorAscii" w:hAnsiTheme="minorAscii"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  <w:t>Apresentação da pauta </w:t>
            </w:r>
            <w:r>
              <w:rPr>
                <w:rStyle w:val="Eop"/>
                <w:rFonts w:cs="Calibri" w:ascii="Calibri" w:hAnsi="Calibri" w:asciiTheme="minorAscii" w:cstheme="minorAscii" w:hAnsiTheme="minorAscii"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  <w:t> </w:t>
            </w:r>
          </w:p>
        </w:tc>
      </w:tr>
      <w:tr>
        <w:trPr>
          <w:trHeight w:val="214" w:hRule="atLeast"/>
        </w:trPr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 xml:space="preserve">Pauta: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Relato e aprovação dos processos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       </w:t>
            </w: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2)    Distribuição de processos; caso tenha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 e debate sobre processos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885" w:hanging="425"/>
              <w:contextualSpacing/>
              <w:jc w:val="both"/>
              <w:rPr/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1754552/2023  </w:t>
            </w:r>
            <w:r>
              <w:rPr>
                <w:rFonts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(Relatório e voto por não admissibilidade)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Angela Botelho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Calibri" w:cs="Calibri" w:ascii="Calibri" w:hAnsi="Calibri" w:cstheme="min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2"/>
                <w:szCs w:val="22"/>
                <w:lang w:val="pt-BR" w:eastAsia="pt-BR" w:bidi="ar-SA"/>
              </w:rPr>
              <w:t xml:space="preserve">Trata-se de denúncia de suposta irregularidade de confecção de plantas e regularização de imóveis. Segundo o denunciante, após receberem o valor estipulado os profissionais não executaram o serviço , alegando não ter tempo hábil para fazê-lo.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O denunciante foi contatado para que enviasse documentos que comprovassem os fatos declarados em sua denúncia, mas não houve resposta.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  <w:t xml:space="preserve">Encaminhamento 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85" w:leader="none"/>
              </w:tabs>
              <w:suppressAutoHyphens w:val="true"/>
              <w:spacing w:before="0" w:after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cs="Calibri" w:ascii="Calibri" w:hAnsi="Calibri" w:asciiTheme="minorAscii" w:cstheme="minorAscii" w:hAnsiTheme="minorAscii"/>
                <w:color w:val="000000" w:themeColor="text1" w:themeShade="ff" w:themeTint="ff"/>
                <w:kern w:val="0"/>
                <w:sz w:val="22"/>
                <w:szCs w:val="22"/>
                <w:lang w:val="pt-BR" w:eastAsia="en-US" w:bidi="ar-SA"/>
              </w:rPr>
              <w:t>Voto pela não admissibilidade. Todos os presentes votaram com a relatora à exceção da conselheira Carla, que se absteve.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4" w:hanging="360"/>
              <w:contextualSpacing/>
              <w:jc w:val="both"/>
              <w:rPr/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1776970/2023 </w:t>
            </w:r>
            <w:r>
              <w:rPr>
                <w:rFonts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 - (Relatório e voto por não admissibilidade )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Angela Botelho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cs="Calibri" w:ascii="Calibri" w:hAnsi="Calibri" w:cstheme="minorAsci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Carta denúncia anônima contra o projeto da Multitirolesa do Pão de Açúcar ao Conselho de Arquitetura e Urbanismo do Rio de Janeiro e Conselho de Arquitetura e Urbanismo do Brasil, encaminhada à Ouvidoria do CAU/BR na data de 15 de maio de 2023, na pessoa da Sra. Ana Laterza sugerindo ilícitos.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cs="Calibri" w:ascii="Calibri" w:hAnsi="Calibri" w:cstheme="minorAscii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A relatora entende que, “resta claro que não houve desídia e tampouco ato ilícito por parte da presidência do CAURJ. Os fatos acima relatados deixam claro que não apenas o CAU/RJ se manifestou em várias ocasiões como também promoveu debate sobre o assunto. Não há na denúncia nenhum elemento que fundamente a acusação de que teria havido vantagens financeiras e politicas por parte do CAU/RJ ou do presidente 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Calibri" w:cs="Calibri" w:ascii="Calibri" w:hAnsi="Calibri" w:cstheme="minorAscii"/>
                <w:b w:val="false"/>
                <w:bCs w:val="false"/>
                <w:i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A carta citada acima está transcrita em folha de relatório e voto.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  <w:t xml:space="preserve">Encaminhamento 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A relatora votou pela não admissibilidade do processo. Todos os presentes acompanharam o voto da relatora.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both"/>
              <w:rPr/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1710591/2023 </w:t>
            </w:r>
            <w:r>
              <w:rPr>
                <w:rFonts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– (Relatório e encaminhamento)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Carla Cabral </w:t>
            </w: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t-BR" w:eastAsia="en-US" w:bidi="ar-SA"/>
              </w:rPr>
              <w:t>D. Alonso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 xml:space="preserve">Trata-se de denúncia de obra sem a devida licença por parte do Poder Público Municipal. O processo já estava em andamento, considerando que o mesmo denunciante informou que havia caído em exigência, na Prefeitura, o fato de o contratante não ser proprietário do imóvel junto ao Cartório de Registro Geral de Imóveis (RGI) da Comarca (fls 3/46 – 27/02/2023). A Ouvidoria do setor municipal informou haver o processo 02/12/000105/2020 para o local (fls. 09/46). Consta fotografia de placa no local (fls. 13/46): Legalização de construção de edificação residencial multifamiliar. Foi constatada a ausência da RRT de execução de obra, que ensejou a abertura do processo nº 1710582, este submetido à CEP. Consta apenas RRT de projeto arquitetônico (fls. 38/46). 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  <w:t xml:space="preserve">Encaminhamento 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Encaminhamento para esclarecimentos da parte denunciada. 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Protocolo nº: 1175627-  Relatório e debate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Carla Cabral D. Alonso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2"/>
                <w:szCs w:val="22"/>
                <w:u w:val="none"/>
                <w:lang w:val="pt-BR" w:eastAsia="pt-BR" w:bidi="ar-SA"/>
              </w:rPr>
              <w:t>Denuncia já admitida anteriormente. A relatora sugeriu orientar o denunciado em sua defesa, pois esta não está bem fundamentada e não apresenta nenhuma prova. O Especialista Jurídico, João, explicou que, segundo o rito processual, neste momento, deve ser feito um despacho saneador para entender se ainda há provas há serem produzidas ou não. O relator pode pedir algum documento, caso entenda que é necessário.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2"/>
                <w:szCs w:val="22"/>
                <w:u w:val="none"/>
                <w:lang w:val="pt-BR" w:eastAsia="pt-BR" w:bidi="ar-SA"/>
              </w:rPr>
              <w:t>Também pode ser designada uma audiência de instrução para que as partes sejam ouvidas.</w:t>
            </w:r>
          </w:p>
        </w:tc>
      </w:tr>
      <w:tr>
        <w:trPr>
          <w:trHeight w:val="361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2"/>
                <w:szCs w:val="22"/>
                <w:shd w:fill="F2F2F2" w:val="clear"/>
                <w:lang w:val="pt-BR" w:eastAsia="en-US" w:bidi="ar-SA"/>
              </w:rPr>
              <w:t xml:space="preserve">Encaminhamento 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pt-BR"/>
              </w:rPr>
              <w:t>Não houve encaminhamento.</w:t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both"/>
              <w:rPr/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 412837/2016 – (Relatório e voto por não admissibilidade)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Célio Alves da Silva Junior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105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MS Mincho" w:cs="Calibri" w:ascii="Calibri" w:hAnsi="Calibri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pt-BR" w:eastAsia="en-US" w:bidi="ar-SA"/>
              </w:rPr>
              <w:t xml:space="preserve">A denúncia relata suposta responsabilização do/as DENUNCIADO/AS por omissão, adulteração de documentos, cerceamento de direito, falsidade documental cartográfica, subtração de documentos, abusos de poder e desvio de finalidade contra o/as arquiteto/as e urbanistas que compõem o quadro funcional da Secretaria Municipal de Urbanismo do Rio de Janeiro SMU-RJ. Refere-se às condutas acima mencionadas como supostas infrações ao Código de Ética e Disciplina do CAU/BR, e como provas dessas condutas, a DENUNCIANTE/RECORRENTE revela vários recursos exibidos ao longo dos processos em que apresentou na Prefeitura para conseguir um licenciamento, reclamando de questionamentos que não foram respondidos. A DENUNCIANTE recorreu ao CAU-BR contra decisão da Comissão de Ética e Disciplina do CAU-RJ (fls. 1203 a 1215), contra decisão do Plenário do Conselho de Arquitetura e Urbanismo do Rio de Janeiro CAU-RJ (f]s. 1321 e 1322), os quais decidiram pela inadmissibilidade e arquivamento da denúncia por entenderem não haver indícios de falta ético disciplinar na conduta do/as DENUNCIADO/AS no decorrer dos trâmites do processo de aprovação e licenciamento de projeto para construção de um hotel em uma região com legislação urbanística municipal específica. Antes do relato, o relator esclareceu que o processo já estava prescrito quando voltou para CED/RJ. </w:t>
            </w:r>
          </w:p>
        </w:tc>
      </w:tr>
      <w:tr>
        <w:trPr/>
        <w:tc>
          <w:tcPr>
            <w:tcW w:w="33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66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O relator propõe à comissão o reconhecimento da prescrição da pretensão punitiva relativa à presente denúncia e arquivamento do processo. Todos os presentes acompanharam o voto do relator.</w:t>
            </w:r>
          </w:p>
        </w:tc>
      </w:tr>
      <w:tr>
        <w:trPr/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  </w:t>
            </w: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4.6.Protocolo nº:1341742/2021 – (Relatório e manutenção da não admissibilidade)</w:t>
            </w:r>
          </w:p>
        </w:tc>
      </w:tr>
      <w:tr>
        <w:trPr/>
        <w:tc>
          <w:tcPr>
            <w:tcW w:w="3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Célio Alves da Silva Júnior</w:t>
            </w:r>
          </w:p>
        </w:tc>
      </w:tr>
      <w:tr>
        <w:trPr/>
        <w:tc>
          <w:tcPr>
            <w:tcW w:w="3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 xml:space="preserve">Trata-se de recurso à decisão de não admissibilidade. A denunciada alega que obras no andar superior comprometeram a acústica e causaram rachaduras em seu apartamento. O relator entende que não ouve falta ética por parte da denunciada, apenas ausência de RRT. </w:t>
            </w:r>
          </w:p>
        </w:tc>
      </w:tr>
      <w:tr>
        <w:trPr/>
        <w:tc>
          <w:tcPr>
            <w:tcW w:w="3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 xml:space="preserve">O relator votou pela manutenção do voto recorrido, devendo o recurso deve ser encaminhado ao Plenário do CAU/RJ para apreciação. Todos os presentes acompanharam o voto do relator. </w:t>
            </w:r>
          </w:p>
        </w:tc>
      </w:tr>
      <w:tr>
        <w:trPr/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4.7.Protocolo nº: 1587342/2022  - Relatório e voto por não admissibilidade</w:t>
            </w:r>
          </w:p>
        </w:tc>
      </w:tr>
      <w:tr>
        <w:trPr/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Leonam Estrella Figueiredo</w:t>
            </w:r>
          </w:p>
        </w:tc>
      </w:tr>
      <w:tr>
        <w:trPr/>
        <w:tc>
          <w:tcPr>
            <w:tcW w:w="3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Trata-se de denúncia contra profissional de arquitetura, responsável, à época, pela Subsecretaria Municipal de Controle e Licenciamento Urbanístico do Rio de Janeiro - SMDEIS, de ter esta realizado arquivamento suspeito de processo, referindo-se ao despacho preferido pela denunciada no processo SMU n. 02/11/001323/2015 (de Legalização de Modificação com Acréscimo de área Com os favores da LC 157/2015”, na Rua Dias Ferreira, 233, Loja A, requerido pela empesa MP3 DO LEBLON COMERCIO DE PRODUTOS ALIMENTICIOS), desconsiderando embargo de obra determinado em data anterior por outra Gerência Municipal de Licenciamento e Fiscalização.</w:t>
            </w:r>
          </w:p>
        </w:tc>
      </w:tr>
      <w:tr>
        <w:trPr/>
        <w:tc>
          <w:tcPr>
            <w:tcW w:w="3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Voto pela não admissibilidade do processo. Todos os presentes acompanharam o voto do relator.</w:t>
            </w:r>
          </w:p>
        </w:tc>
      </w:tr>
      <w:tr>
        <w:trPr/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140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4.8.Protocolo nº: 1175809/2020 - (Relatório e não admissibilidade </w:t>
            </w:r>
          </w:p>
        </w:tc>
      </w:tr>
      <w:tr>
        <w:trPr/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Leonam Estrella Figueiredo</w:t>
            </w:r>
          </w:p>
        </w:tc>
      </w:tr>
      <w:tr>
        <w:trPr/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spacing w:before="0" w:after="0"/>
              <w:jc w:val="both"/>
              <w:rPr>
                <w:rFonts w:eastAsia="MS Mincho" w:cs="Calibri"/>
                <w:b w:val="false"/>
                <w:b w:val="false"/>
                <w:bCs w:val="false"/>
                <w:kern w:val="0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Trata-se de pedido de fiscalização por parte do CAU/RJ para verificação do responsável por uma obra , onde não constava a obrigatória placa de responsável pela obra. Quando a diligência foi efetuada por fiscalização do CAU, foi então constatado um erro grosseiro na execução de uma escada.</w:t>
            </w:r>
          </w:p>
          <w:p>
            <w:pPr>
              <w:pStyle w:val="Corpodotexto"/>
              <w:widowControl w:val="false"/>
              <w:ind w:left="0" w:right="0" w:hanging="0"/>
              <w:jc w:val="both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 responsável pela obra, posteriormente identificado como sendo o arquiteto denunciado, apresentou em sua defesa plantas sem detalhamento da citada escada, além de estar já construída e totalmente fora dos padrões técnicos, conforme fotos anexadas a este processo. Foram então solicitados maiores esclarecimentos sobre a escada e as responsabilidades contratadas.</w:t>
            </w:r>
          </w:p>
          <w:p>
            <w:pPr>
              <w:pStyle w:val="Corpodotexto"/>
              <w:widowControl w:val="false"/>
              <w:spacing w:before="0" w:after="140"/>
              <w:ind w:left="0" w:right="0" w:hanging="0"/>
              <w:jc w:val="both"/>
              <w:rPr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 profissional apresentou novos documentos e fotos da escada interna, e permaneceu afirmando não ser de sua autoria ou realização a referida escada, que, segundo o mesmo, já existia no local antes da realização do projeto</w:t>
            </w:r>
            <w:r>
              <w:rPr>
                <w:rFonts w:eastAsia="MS Mincho" w:cs="Calibri" w:ascii="Calibri" w:hAnsi="Calibri" w:cstheme="minorHAns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</w:tc>
      </w:tr>
      <w:tr>
        <w:trPr/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cs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Voto pela não admissibilidad</w:t>
            </w: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shd w:fill="auto" w:val="clear"/>
                <w:lang w:val="pt-BR" w:eastAsia="en-US" w:bidi="ar-SA"/>
              </w:rPr>
              <w:t>e do processo. T</w:t>
            </w:r>
            <w:r>
              <w:rPr>
                <w:rFonts w:eastAsia="MS Mincho" w:cs="Calibri" w:ascii="Calibri" w:hAnsi="Calibr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 xml:space="preserve">odos os presentes acompanharam o voto do relator. </w:t>
            </w:r>
          </w:p>
        </w:tc>
      </w:tr>
      <w:tr>
        <w:trPr/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MS Mincho" w:cs="Calibri" w:ascii="Calibri" w:hAnsi="Calibri" w:asciiTheme="minorAscii" w:cstheme="minorAscii" w:hAnsi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6.</w:t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2"/>
                <w:szCs w:val="22"/>
                <w:u w:val="none"/>
                <w:lang w:val="pt-BR" w:eastAsia="en-US" w:bidi="ar-SA"/>
              </w:rPr>
              <w:t xml:space="preserve"> Distribuição de novos processos a serem relatados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lineRule="auto" w:line="240" w:before="0" w:after="0"/>
              <w:ind w:left="0" w:right="105" w:hanging="0"/>
              <w:jc w:val="both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2"/>
                <w:szCs w:val="22"/>
                <w:u w:val="none"/>
                <w:lang w:val="pt-BR" w:eastAsia="en-US" w:bidi="ar-SA"/>
              </w:rPr>
              <w:t>1774224/2023 – Angela Botelho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05" w:hanging="0"/>
              <w:jc w:val="both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2"/>
                <w:szCs w:val="22"/>
                <w:u w:val="none"/>
                <w:lang w:val="pt-BR" w:eastAsia="en-US" w:bidi="ar-SA"/>
              </w:rPr>
              <w:t>1768448/2023-Leonam Estrella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05" w:hanging="0"/>
              <w:jc w:val="both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2"/>
                <w:szCs w:val="22"/>
                <w:u w:val="none"/>
                <w:lang w:val="pt-BR" w:eastAsia="en-US" w:bidi="ar-SA"/>
              </w:rPr>
              <w:t>1790540/2023- Vicente Alvarenga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lineRule="auto" w:line="240" w:before="0" w:after="0"/>
              <w:ind w:left="0" w:right="105" w:hanging="0"/>
              <w:jc w:val="both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99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 – encerramento</w:t>
            </w:r>
          </w:p>
        </w:tc>
      </w:tr>
      <w:tr>
        <w:trPr>
          <w:trHeight w:val="70" w:hRule="atLeast"/>
        </w:trPr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6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>A reunião foi encerrada à</w:t>
            </w: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shd w:fill="auto" w:val="clear"/>
                <w:lang w:val="pt-BR" w:eastAsia="en-US" w:bidi="ar-SA"/>
              </w:rPr>
              <w:t>s 17h35 c</w:t>
            </w:r>
            <w:r>
              <w:rPr>
                <w:rFonts w:cs="Calibri" w:ascii="Calibri" w:hAnsi="Calibri" w:asciiTheme="minorAscii" w:cstheme="minorAscii" w:hAnsiTheme="minorAscii"/>
                <w:kern w:val="0"/>
                <w:sz w:val="22"/>
                <w:szCs w:val="22"/>
                <w:lang w:val="pt-BR" w:eastAsia="en-US" w:bidi="ar-SA"/>
              </w:rPr>
              <w:t xml:space="preserve">om os(as) participantes acima nominados(as). </w:t>
            </w:r>
          </w:p>
        </w:tc>
      </w:tr>
    </w:tbl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3"/>
      </w:tblGrid>
      <w:tr>
        <w:trPr/>
        <w:tc>
          <w:tcPr>
            <w:tcW w:w="921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Paragraph"/>
              <w:widowControl w:val="false"/>
              <w:spacing w:beforeAutospacing="0" w:before="0" w:afterAutospacing="0" w:after="0"/>
              <w:jc w:val="center"/>
              <w:textAlignment w:val="baseline"/>
              <w:rPr>
                <w:rStyle w:val="Normaltextrun"/>
                <w:rFonts w:ascii="Calibri" w:hAnsi="Calibri" w:eastAsia="Cambria" w:cs="Calibri"/>
                <w:b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eastAsia="Cambria" w:cs="Calibri" w:ascii="Calibri" w:hAnsi="Calibri" w:asciiTheme="minorAscii" w:cstheme="minorAscii" w:hAnsiTheme="minorAscii"/>
                <w:b/>
                <w:bCs/>
                <w:sz w:val="22"/>
                <w:szCs w:val="22"/>
              </w:rPr>
              <w:t>Angela Botelho</w:t>
            </w:r>
          </w:p>
          <w:p>
            <w:pPr>
              <w:pStyle w:val="Paragraph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eastAsia="Cambria" w:cs="Calibri" w:ascii="Calibri" w:hAnsi="Calibri" w:asciiTheme="minorHAnsi" w:cstheme="minorHAnsi" w:hAnsiTheme="minorHAnsi"/>
                <w:sz w:val="22"/>
                <w:szCs w:val="22"/>
              </w:rPr>
              <w:t>Coordenadora da CED-CAU/RJ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</w:tc>
      </w:tr>
      <w:tr>
        <w:trPr>
          <w:trHeight w:val="157" w:hRule="atLeast"/>
        </w:trPr>
        <w:tc>
          <w:tcPr>
            <w:tcW w:w="921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1418" w:top="2268" w:footer="567" w:bottom="156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axCondense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>
    <w:pPr>
      <w:pStyle w:val="Rodap"/>
      <w:tabs>
        <w:tab w:val="clear" w:pos="8640"/>
        <w:tab w:val="center" w:pos="4320" w:leader="none"/>
        <w:tab w:val="right" w:pos="9065" w:leader="none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>
    <w:pPr>
      <w:pStyle w:val="Rodap"/>
      <w:tabs>
        <w:tab w:val="clear" w:pos="8640"/>
        <w:tab w:val="center" w:pos="4320" w:leader="none"/>
        <w:tab w:val="right" w:pos="9065" w:leader="none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587" w:hanging="0"/>
      <w:rPr>
        <w:color w:val="296D7A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320"/>
        <w:tab w:val="clear" w:pos="8640"/>
        <w:tab w:val="left" w:pos="3540" w:leader="none"/>
      </w:tabs>
      <w:ind w:left="2694" w:hanging="0"/>
      <w:rPr>
        <w:rFonts w:ascii="DaxCondensed" w:hAnsi="DaxCondensed" w:cs="Arial"/>
        <w:color w:val="386C71"/>
        <w:sz w:val="20"/>
        <w:szCs w:val="20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3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DaxCondensed" w:hAnsi="DaxCondensed"/>
        <w:color w:val="386C71"/>
        <w:sz w:val="20"/>
        <w:szCs w:val="20"/>
      </w:rPr>
      <w:tab/>
    </w:r>
  </w:p>
  <w:p>
    <w:pPr>
      <w:pStyle w:val="Cabealho"/>
      <w:ind w:left="2694" w:hanging="0"/>
      <w:rPr>
        <w:rFonts w:ascii="DaxCondensed" w:hAnsi="DaxCondensed" w:cs="Arial"/>
        <w:color w:val="386C71"/>
        <w:sz w:val="20"/>
        <w:szCs w:val="20"/>
      </w:rPr>
    </w:pPr>
    <w:r>
      <w:rPr>
        <w:rFonts w:cs="Arial" w:ascii="DaxCondensed" w:hAnsi="DaxCondensed"/>
        <w:color w:val="386C71"/>
        <w:sz w:val="20"/>
        <w:szCs w:val="20"/>
      </w:rPr>
      <w:t>Súmula da Comissão de Ética e Disciplina</w:t>
    </w:r>
  </w:p>
  <w:p>
    <w:pPr>
      <w:pStyle w:val="Cabealho"/>
      <w:ind w:left="587" w:hanging="0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4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DaxCondensed" w:hAnsi="DaxCondensed"/>
        <w:color w:val="386C71"/>
        <w:sz w:val="20"/>
        <w:szCs w:val="20"/>
      </w:rPr>
      <w:t>Comissão de Ética e Disciplina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b/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MS Mincho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uiPriority w:val="99"/>
    <w:semiHidden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DefaultParagraphFont"/>
    <w:qFormat/>
    <w:rsid w:val="00bc0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47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54736"/>
    <w:rPr>
      <w:rFonts w:ascii="Cambria" w:hAnsi="Cambria" w:eastAsia="Cambria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11a77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9242ba"/>
    <w:rPr/>
  </w:style>
  <w:style w:type="character" w:styleId="Eop" w:customStyle="1">
    <w:name w:val="eop"/>
    <w:basedOn w:val="DefaultParagraphFont"/>
    <w:qFormat/>
    <w:rsid w:val="009242ba"/>
    <w:rPr/>
  </w:style>
  <w:style w:type="character" w:styleId="PlaceholderText">
    <w:name w:val="Placeholder Text"/>
    <w:basedOn w:val="DefaultParagraphFont"/>
    <w:uiPriority w:val="99"/>
    <w:semiHidden/>
    <w:qFormat/>
    <w:rsid w:val="006d2766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nhideWhenUsed/>
    <w:rsid w:val="004c3048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47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4736"/>
    <w:pPr/>
    <w:rPr>
      <w:b/>
      <w:bCs/>
    </w:rPr>
  </w:style>
  <w:style w:type="paragraph" w:styleId="Paragraph" w:customStyle="1">
    <w:name w:val="paragraph"/>
    <w:basedOn w:val="Normal"/>
    <w:qFormat/>
    <w:rsid w:val="00c8609c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  <SharedWithUsers xmlns="fa78ee90-03af-4345-bce2-cf4d246569fa">
      <UserInfo>
        <DisplayName/>
        <AccountId xsi:nil="true"/>
        <AccountType/>
      </UserInfo>
    </SharedWithUsers>
    <MediaLengthInSeconds xmlns="28bd5dda-e3d1-4b34-a763-836af409a1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5F7E-A1F6-42C9-989A-F97337CD7BA0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LibreOffice/7.4.5.1$Windows_X86_64 LibreOffice_project/9c0871452b3918c1019dde9bfac75448afc4b57f</Application>
  <AppVersion>15.0000</AppVersion>
  <Pages>4</Pages>
  <Words>1316</Words>
  <Characters>7890</Characters>
  <CharactersWithSpaces>9154</CharactersWithSpaces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2022-12-20T17:20:00Z</dcterms:created>
  <dc:creator>usuario</dc:creator>
  <dc:description/>
  <dc:language>pt-BR</dc:language>
  <cp:lastModifiedBy/>
  <cp:lastPrinted>2021-10-19T14:18:00Z</cp:lastPrinted>
  <dcterms:modified xsi:type="dcterms:W3CDTF">2024-04-01T10:46:24Z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0x01010042A96BD2EE3A994A85C5378409FDF3A8</vt:lpwstr>
  </property>
  <property fmtid="{D5CDD505-2E9C-101B-9397-08002B2CF9AE}" pid="4" name="MediaServiceImageTags">
    <vt:lpwstr/>
  </property>
  <property fmtid="{D5CDD505-2E9C-101B-9397-08002B2CF9AE}" pid="5" name="Order">
    <vt:r8>429100</vt:r8>
  </property>
  <property fmtid="{D5CDD505-2E9C-101B-9397-08002B2CF9AE}" pid="6" name="TriggerFlowInfo">
    <vt:lpwstr/>
  </property>
  <property fmtid="{D5CDD505-2E9C-101B-9397-08002B2CF9AE}" pid="7" name="_DocHome">
    <vt:i4>1699323113</vt:i4>
  </property>
  <property fmtid="{D5CDD505-2E9C-101B-9397-08002B2CF9AE}" pid="8" name="_ExtendedDescription">
    <vt:lpwstr/>
  </property>
  <property fmtid="{D5CDD505-2E9C-101B-9397-08002B2CF9AE}" pid="9" name="_SharedFileIndex">
    <vt:lpwstr/>
  </property>
  <property fmtid="{D5CDD505-2E9C-101B-9397-08002B2CF9AE}" pid="10" name="_SourceUrl">
    <vt:lpwstr/>
  </property>
</Properties>
</file>