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ink="http://schemas.microsoft.com/office/drawing/2016/ink" xmlns:a="http://schemas.openxmlformats.org/drawingml/2006/main" xmlns:pic="http://schemas.openxmlformats.org/drawingml/2006/picture" mc:Ignorable="w14 w15 wp14">
  <w:body>
    <w:p w:rsidRPr="00855BA2" w:rsidR="00F16765" w:rsidP="00361937" w:rsidRDefault="00F16765" w14:paraId="4767CAD2" w14:textId="69AE1C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Pr="00855BA2" w:rsidR="00B00CBD">
        <w:rPr>
          <w:rFonts w:asciiTheme="minorHAnsi" w:hAnsiTheme="minorHAnsi" w:cstheme="minorHAnsi"/>
          <w:b/>
        </w:rPr>
        <w:t>DA</w:t>
      </w:r>
      <w:r w:rsidRPr="00855BA2" w:rsidR="004E3F06">
        <w:rPr>
          <w:rFonts w:asciiTheme="minorHAnsi" w:hAnsiTheme="minorHAnsi" w:cstheme="minorHAnsi"/>
          <w:b/>
        </w:rPr>
        <w:t xml:space="preserve"> </w:t>
      </w:r>
      <w:r w:rsidR="004514EA">
        <w:rPr>
          <w:rFonts w:asciiTheme="minorHAnsi" w:hAnsiTheme="minorHAnsi" w:cstheme="minorHAnsi"/>
          <w:b/>
        </w:rPr>
        <w:t>2</w:t>
      </w:r>
      <w:r w:rsidRPr="00855BA2" w:rsidR="00F071FD">
        <w:rPr>
          <w:rFonts w:asciiTheme="minorHAnsi" w:hAnsiTheme="minorHAnsi" w:cstheme="minorHAnsi"/>
          <w:b/>
        </w:rPr>
        <w:t xml:space="preserve">ª </w:t>
      </w:r>
      <w:r w:rsidRPr="00855BA2" w:rsidR="00550B03">
        <w:rPr>
          <w:rFonts w:asciiTheme="minorHAnsi" w:hAnsiTheme="minorHAnsi" w:cstheme="minorHAnsi"/>
          <w:b/>
        </w:rPr>
        <w:t xml:space="preserve">REUNIÃO </w:t>
      </w:r>
      <w:r w:rsidRPr="00855BA2" w:rsidR="00320FCE">
        <w:rPr>
          <w:rFonts w:asciiTheme="minorHAnsi" w:hAnsiTheme="minorHAnsi" w:cstheme="minorHAnsi"/>
          <w:b/>
        </w:rPr>
        <w:t>D</w:t>
      </w:r>
      <w:r w:rsidRPr="00855BA2" w:rsidR="00F071FD">
        <w:rPr>
          <w:rFonts w:asciiTheme="minorHAnsi" w:hAnsiTheme="minorHAnsi" w:cstheme="minorHAnsi"/>
          <w:b/>
        </w:rPr>
        <w:t xml:space="preserve">A COMISSÃO DE </w:t>
      </w:r>
      <w:r w:rsidRPr="00855BA2" w:rsidR="00B9217F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Pr="00855BA2" w:rsidR="001E71B8">
        <w:rPr>
          <w:rFonts w:asciiTheme="minorHAnsi" w:hAnsiTheme="minorHAnsi" w:cstheme="minorHAnsi"/>
          <w:b/>
        </w:rPr>
        <w:t>J</w:t>
      </w:r>
    </w:p>
    <w:p w:rsidRPr="00855BA2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Pr="00D81236" w:rsidR="000310DD" w:rsidTr="7E5492F1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004514EA" w:rsidRDefault="003A24CF" w14:paraId="2B18A3DC" w14:textId="174AE22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2</w:t>
            </w:r>
            <w:r w:rsidR="004514EA">
              <w:rPr>
                <w:rFonts w:eastAsia="MS Mincho" w:asciiTheme="minorHAnsi" w:hAnsiTheme="minorHAnsi" w:cstheme="minorHAnsi"/>
                <w:sz w:val="22"/>
                <w:szCs w:val="22"/>
              </w:rPr>
              <w:t>8</w:t>
            </w:r>
            <w:r w:rsidRPr="00D81236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D81236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 w:rsidR="004514EA">
              <w:rPr>
                <w:rFonts w:eastAsia="MS Mincho" w:asciiTheme="minorHAnsi" w:hAnsiTheme="minorHAnsi" w:cstheme="minorHAnsi"/>
                <w:sz w:val="22"/>
                <w:szCs w:val="22"/>
              </w:rPr>
              <w:t>março</w:t>
            </w:r>
            <w:r w:rsidRPr="00D81236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</w:t>
            </w: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2</w:t>
            </w:r>
            <w:r w:rsidRPr="00D8123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Pr="00D81236" w:rsidR="00F071FD">
              <w:rPr>
                <w:rFonts w:eastAsia="MS Mincho" w:asciiTheme="minorHAnsi" w:hAnsiTheme="minorHAnsi" w:cstheme="minorHAnsi"/>
                <w:sz w:val="22"/>
                <w:szCs w:val="22"/>
              </w:rPr>
              <w:t>segunda</w:t>
            </w:r>
            <w:r w:rsidRPr="00D8123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005E1B13" w:rsidRDefault="00B9217F" w14:paraId="50D6277C" w14:textId="540120D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E1B13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5E1B13" w:rsidR="00F071FD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5E1B13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5E1B13" w:rsidR="00D01855">
              <w:rPr>
                <w:rFonts w:eastAsia="MS Mincho" w:asciiTheme="minorHAnsi" w:hAnsiTheme="minorHAnsi" w:cstheme="minorHAnsi"/>
                <w:sz w:val="22"/>
                <w:szCs w:val="22"/>
              </w:rPr>
              <w:t>00</w:t>
            </w:r>
            <w:r w:rsidRPr="005E1B13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às </w:t>
            </w:r>
            <w:r w:rsidRPr="005E1B13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5E1B13" w:rsidR="00A66965">
              <w:rPr>
                <w:rFonts w:eastAsia="MS Mincho" w:asciiTheme="minorHAnsi" w:hAnsiTheme="minorHAnsi" w:cstheme="minorHAnsi"/>
                <w:sz w:val="22"/>
                <w:szCs w:val="22"/>
              </w:rPr>
              <w:t>8</w:t>
            </w:r>
            <w:r w:rsidRPr="005E1B13" w:rsidR="00DD1168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5E1B13" w:rsidR="005E1B13">
              <w:rPr>
                <w:rFonts w:eastAsia="MS Mincho"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Pr="00D81236" w:rsidR="000310DD" w:rsidTr="7E5492F1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D81236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D81236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D81236" w:rsidR="000310DD" w:rsidTr="7E5492F1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6A6A6" w:themeColor="background1" w:themeShade="A6" w:sz="4" w:space="0"/>
              <w:right w:val="single" w:color="FFFFFF" w:themeColor="background1" w:sz="4" w:space="0"/>
            </w:tcBorders>
            <w:tcMar/>
          </w:tcPr>
          <w:p w:rsidRPr="00D81236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345F4" w:rsidR="003F60C3" w:rsidP="00D01855" w:rsidRDefault="003F60C3" w14:paraId="6081761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A55B6F" w:rsidRDefault="003F60C3" w14:paraId="51E86B81" w14:textId="1789305A">
            <w:pPr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45F4" w:rsidR="003F60C3" w:rsidP="002A7691" w:rsidRDefault="004345F4" w14:paraId="58BFE351" w14:textId="218BE76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D81236" w:rsidR="003F60C3" w:rsidTr="7E5492F1" w14:paraId="0687D023" w14:textId="77777777">
        <w:tc>
          <w:tcPr>
            <w:tcW w:w="1843" w:type="dxa"/>
            <w:vMerge/>
            <w:tcBorders/>
            <w:tcMar/>
          </w:tcPr>
          <w:p w:rsidRPr="004345F4" w:rsidR="003F60C3" w:rsidP="00D01855" w:rsidRDefault="003F60C3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A55B6F" w:rsidRDefault="003F60C3" w14:paraId="1A4E40CC" w14:textId="7368F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45F4" w:rsidR="003F60C3" w:rsidP="00A55B6F" w:rsidRDefault="003F60C3" w14:paraId="302CD91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D81236" w:rsidR="003F60C3" w:rsidTr="7E5492F1" w14:paraId="1C0A8B9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4345F4" w:rsidR="003F60C3" w:rsidP="00D01855" w:rsidRDefault="003F60C3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8B0B81" w:rsidRDefault="003F60C3" w14:paraId="53045BC7" w14:textId="5E34B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45F4" w:rsidR="003F60C3" w:rsidP="008B0B81" w:rsidRDefault="00D81236" w14:paraId="315E1B80" w14:textId="394A937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D81236" w:rsidR="003F60C3" w:rsidTr="7E5492F1" w14:paraId="0B0BD148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4345F4" w:rsidR="003F60C3" w:rsidP="00D01855" w:rsidRDefault="003F60C3" w14:paraId="7BF2403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8B0B81" w:rsidRDefault="003F60C3" w14:paraId="17960BFF" w14:textId="20951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45F4" w:rsidR="003F60C3" w:rsidP="008B0B81" w:rsidRDefault="003F60C3" w14:paraId="7256E7E9" w14:textId="090A516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D81236" w:rsidR="003F60C3" w:rsidTr="7E5492F1" w14:paraId="1612376A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4345F4" w:rsidR="003F60C3" w:rsidP="00D01855" w:rsidRDefault="003F60C3" w14:paraId="4361A9A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8B0B81" w:rsidRDefault="003F60C3" w14:paraId="14B735BB" w14:textId="5210E6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45F4" w:rsidR="003F60C3" w:rsidP="003B538D" w:rsidRDefault="00D81236" w14:paraId="5394FF47" w14:textId="0F0B613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AUSENTE </w:t>
            </w:r>
          </w:p>
        </w:tc>
      </w:tr>
      <w:tr w:rsidRPr="00D81236" w:rsidR="00D01855" w:rsidTr="7E5492F1" w14:paraId="03541876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81236" w:rsidR="00D01855" w:rsidP="00D01855" w:rsidRDefault="00D01855" w14:paraId="430B6D5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D01855" w:rsidP="008B0B81" w:rsidRDefault="00D01855" w14:paraId="433B6320" w14:textId="489F0A7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D01855" w:rsidP="008B0B81" w:rsidRDefault="00D01855" w14:paraId="3AC42C60" w14:textId="147F7E76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Pr="00D81236" w:rsidR="00227F9A" w:rsidTr="7E5492F1" w14:paraId="3656B9AB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D81236" w:rsidR="00227F9A" w:rsidP="00227F9A" w:rsidRDefault="00227F9A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D81236" w:rsidR="00227F9A" w:rsidTr="7E5492F1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227F9A" w:rsidP="00227F9A" w:rsidRDefault="00227F9A" w14:paraId="11B54D36" w14:textId="21CD360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Pr="00D81236" w:rsidR="003F60C3" w:rsidTr="7E5492F1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3F60C3" w:rsidRDefault="003F60C3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3F60C3" w:rsidP="003F60C3" w:rsidRDefault="003F60C3" w14:paraId="03D6B4C6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quórum para </w:t>
            </w:r>
            <w:r w:rsidRPr="00A66965">
              <w:rPr>
                <w:rFonts w:eastAsia="MS Mincho" w:asciiTheme="minorHAnsi" w:hAnsiTheme="minorHAnsi" w:cstheme="minorHAnsi"/>
                <w:sz w:val="22"/>
                <w:szCs w:val="22"/>
              </w:rPr>
              <w:t>início da reunião às 16h10, com os conselheiros acima nominados.</w:t>
            </w: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D81236" w:rsidR="003F60C3" w:rsidP="003F60C3" w:rsidRDefault="003F60C3" w14:paraId="5EE1C43A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sz w:val="22"/>
                <w:szCs w:val="22"/>
              </w:rPr>
              <w:t>A pauta da reunião foi:</w:t>
            </w:r>
          </w:p>
          <w:p w:rsidRPr="00AD14E5" w:rsidR="00BF4148" w:rsidP="002A7691" w:rsidRDefault="002A7691" w14:paraId="1277DADF" w14:textId="5DF704F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A7691">
              <w:rPr>
                <w:rFonts w:asciiTheme="minorHAnsi" w:hAnsiTheme="minorHAnsi" w:cstheme="minorHAnsi"/>
                <w:sz w:val="22"/>
                <w:szCs w:val="22"/>
              </w:rPr>
              <w:t>Fórum ATHI</w:t>
            </w:r>
            <w:r w:rsidR="00BF41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Pr="00BF4148" w:rsidR="00AD14E5" w:rsidP="002A7691" w:rsidRDefault="00AD14E5" w14:paraId="7C16D5D2" w14:textId="1315C4D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BF414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Cartilha - Modelos - Formato</w:t>
            </w:r>
          </w:p>
          <w:p w:rsidRPr="00093AFD" w:rsidR="004514EA" w:rsidP="00AD14E5" w:rsidRDefault="002A7691" w14:paraId="589E61C4" w14:textId="7777777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BF4148">
              <w:rPr>
                <w:rFonts w:asciiTheme="minorHAnsi" w:hAnsiTheme="minorHAnsi" w:cstheme="minorHAnsi"/>
                <w:sz w:val="22"/>
                <w:szCs w:val="22"/>
              </w:rPr>
              <w:t xml:space="preserve">Informes </w:t>
            </w:r>
            <w:r w:rsidR="00AD14E5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Pr="00BF4148">
              <w:rPr>
                <w:rFonts w:asciiTheme="minorHAnsi" w:hAnsiTheme="minorHAnsi" w:cstheme="minorHAnsi"/>
                <w:sz w:val="22"/>
                <w:szCs w:val="22"/>
              </w:rPr>
              <w:t xml:space="preserve"> nos Bairros</w:t>
            </w:r>
          </w:p>
          <w:p w:rsidR="00093AFD" w:rsidP="00093AFD" w:rsidRDefault="00093AFD" w14:paraId="5E54CE75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="00093AFD" w:rsidP="00093AFD" w:rsidRDefault="00093AFD" w14:paraId="768134F8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="00093AFD" w:rsidP="00093AFD" w:rsidRDefault="00093AFD" w14:paraId="31F00103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A próxima reunião de CATHIS será antecipada para o </w:t>
            </w:r>
            <w:r w:rsidRPr="00093AF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dia 18 de abril às 16h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, em virtude do evento CAU na sua cidade.</w:t>
            </w:r>
          </w:p>
          <w:p w:rsidR="00093AFD" w:rsidP="00093AFD" w:rsidRDefault="00093AFD" w14:paraId="561A1F72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="00093AFD" w:rsidP="00093AFD" w:rsidRDefault="00093AFD" w14:paraId="282278E2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Dia </w:t>
            </w:r>
            <w:r w:rsidRPr="00093AF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26 de abril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será a atividade da CATHIS no CAU na sua cidade.</w:t>
            </w:r>
          </w:p>
          <w:p w:rsidR="00093AFD" w:rsidP="00093AFD" w:rsidRDefault="00093AFD" w14:paraId="39E3357D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093AFD" w:rsidR="00C56017" w:rsidP="000B6999" w:rsidRDefault="00C56017" w14:paraId="4E09E683" w14:textId="2226B614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Fórum de </w:t>
            </w:r>
            <w:r w:rsidR="000B6999">
              <w:rPr>
                <w:rFonts w:eastAsia="MS Mincho" w:asciiTheme="minorHAnsi" w:hAnsiTheme="minorHAnsi" w:cstheme="minorHAnsi"/>
                <w:sz w:val="22"/>
                <w:szCs w:val="22"/>
              </w:rPr>
              <w:t>ATHIS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será di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03</w:t>
            </w:r>
            <w:r w:rsidRPr="00093AF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junho.</w:t>
            </w:r>
          </w:p>
        </w:tc>
      </w:tr>
      <w:tr w:rsidRPr="00D81236" w:rsidR="003F60C3" w:rsidTr="7E5492F1" w14:paraId="53128261" w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81236" w:rsidR="003F60C3" w:rsidP="003F60C3" w:rsidRDefault="003F60C3" w14:paraId="62486C05" w14:textId="5F63904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81236" w:rsidR="003F60C3" w:rsidTr="7E5492F1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BF4148" w:rsidRDefault="00BF4148" w14:paraId="5925BB81" w14:textId="3502D12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BF414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Fórum ATHIS</w:t>
            </w:r>
          </w:p>
        </w:tc>
      </w:tr>
      <w:tr w:rsidRPr="00D81236" w:rsidR="003F60C3" w:rsidTr="7E5492F1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264039" w:rsidP="00BF4148" w:rsidRDefault="00264039" w14:paraId="69487A6B" w14:textId="63761B98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iniciou a reunião falando sobre a necessidade de confirmar a data do próximo fórum de ATHIS. O evento estava pré-agendado para o dia 13 de maio, mas os presentes resolveram modificar devido a data ser marcada por eventos e debates raciais relacionados a abolição da escravidão.</w:t>
            </w:r>
          </w:p>
          <w:p w:rsidR="00264039" w:rsidP="00BF4148" w:rsidRDefault="00264039" w14:paraId="1741654E" w14:textId="42D81124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264039" w:rsidP="00BF4148" w:rsidRDefault="00264039" w14:paraId="42AF6F4D" w14:textId="5897B25D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Foi sugerida a data de 27 de maio, ao passo que o </w:t>
            </w:r>
            <w:r w:rsidRPr="00D81236" w:rsidR="003F60C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</w:t>
            </w:r>
            <w:r w:rsidR="00BF414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onvidado Marcelo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informou que de 25 a 27 de maio será realizada a Cúpula dos Povos (Rio+30) que reunirá entidades e organizações que discutem o direito à cidade. Foi sugerido que o fórum e ATHIS seja parte integrante do evento, o que será confirmado na próxima quarta-feira junto aos organizadores do evento.</w:t>
            </w:r>
          </w:p>
          <w:p w:rsidR="00264039" w:rsidP="00BF4148" w:rsidRDefault="00264039" w14:paraId="17E1DE2B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264039" w:rsidP="00BF4148" w:rsidRDefault="00264039" w14:paraId="4F14D06B" w14:textId="0E9D2C4D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Marcelo informou que o evento terá uma mesa sobre acesso à terra e moradia e que ocorrerá no Armazém da Utopia, na zona portuária. Foi pe</w:t>
            </w:r>
            <w:r w:rsidR="004345F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rguntado se haviam restrições sob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 o evento ocorrer fora das dependias do CAU/RJ. A assessora Renata informou não haver impedimento e a necessidade de </w:t>
            </w:r>
            <w:r w:rsidR="004345F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que a estrutura necessária seja previamente informada ao CAU/RJ.</w:t>
            </w:r>
          </w:p>
          <w:p w:rsidR="004345F4" w:rsidP="00BF4148" w:rsidRDefault="004345F4" w14:paraId="3EB93D6C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4345F4" w:rsidP="00BF4148" w:rsidRDefault="004345F4" w14:paraId="450D7B5F" w14:textId="00046623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informou sobre a planilha de contatos compartilhada pela chefe de gabinete Patrícia. Ela compartilhou por drive com todos os conselheiros da Comissão.</w:t>
            </w:r>
          </w:p>
          <w:p w:rsidR="004345F4" w:rsidP="00BF4148" w:rsidRDefault="004345F4" w14:paraId="594E0CF9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264039" w:rsidP="00BF4148" w:rsidRDefault="004345F4" w14:paraId="4EA2865B" w14:textId="74E2779F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Por fim a coordenadora solicitou um modelo/</w:t>
            </w:r>
            <w:proofErr w:type="spellStart"/>
            <w:r w:rsidRPr="00431F3B">
              <w:rPr>
                <w:rFonts w:eastAsia="Times New Roman"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check</w:t>
            </w:r>
            <w:proofErr w:type="spellEnd"/>
            <w:r w:rsidRPr="00431F3B">
              <w:rPr>
                <w:rFonts w:eastAsia="Times New Roman"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31F3B">
              <w:rPr>
                <w:rFonts w:eastAsia="Times New Roman"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list</w:t>
            </w:r>
            <w:proofErr w:type="spell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o planejamento do evento. A assessora Renata irá verificar se existe modelo de planejamento do último evento.</w:t>
            </w:r>
          </w:p>
          <w:p w:rsidR="00B606D9" w:rsidP="00BF4148" w:rsidRDefault="00B606D9" w14:paraId="549F8BBF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431F3B" w:rsidP="00BF4148" w:rsidRDefault="00431F3B" w14:paraId="7409090D" w14:textId="18EFA60C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Leslie discordou sobre a adesão do fórum na programação da Cúpula dos Povos, por acreditar que o evento do CAU se perderia nesse evento maior. A conselheira </w:t>
            </w:r>
            <w:proofErr w:type="spellStart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sugeriu que esperemos a reunião do Marcelo sobre a programação da cúpula para então bater o martelo na data.</w:t>
            </w:r>
          </w:p>
          <w:p w:rsidR="00C56017" w:rsidP="00BF4148" w:rsidRDefault="00C56017" w14:paraId="7F722F9D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C56017" w:rsidP="00BF4148" w:rsidRDefault="00C56017" w14:paraId="5A999956" w14:textId="49A5D558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Os presentes debateram e decidiram participar na Cúpula enquanto CATHIS mas alterar o dia do Fórum para o </w:t>
            </w:r>
            <w:r w:rsidRPr="00C56017"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dia 3 de junho.</w:t>
            </w:r>
          </w:p>
          <w:p w:rsidR="00431F3B" w:rsidP="00BF4148" w:rsidRDefault="00431F3B" w14:paraId="30D199E1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D81236" w:rsidR="00BF4148" w:rsidP="004345F4" w:rsidRDefault="004345F4" w14:paraId="5F1CD6B5" w14:textId="488F419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345F4"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Encaminhamento: </w:t>
            </w:r>
            <w:r w:rsidRPr="00C5601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Fórum será dia 26 de maio às 10h, data a ser confirmada junto a Comissão Organizadora da Rio+30.</w:t>
            </w:r>
            <w:r w:rsidR="00BF414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D81236" w:rsidR="003F60C3" w:rsidTr="7E5492F1" w14:paraId="0FB78278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81236" w:rsidR="003F60C3" w:rsidP="003F60C3" w:rsidRDefault="003F60C3" w14:paraId="1FC39945" w14:textId="57F330E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4EA9C416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tbl>
            <w:tblPr>
              <w:tblStyle w:val="Tabelacomgrade"/>
              <w:tblW w:w="9379" w:type="dxa"/>
              <w:tblLayout w:type="fixed"/>
              <w:tblLook w:val="04A0" w:firstRow="1" w:lastRow="0" w:firstColumn="1" w:lastColumn="0" w:noHBand="0" w:noVBand="1"/>
            </w:tblPr>
            <w:tblGrid>
              <w:gridCol w:w="9379"/>
            </w:tblGrid>
            <w:tr w:rsidRPr="00D81236" w:rsidR="003F60C3" w:rsidTr="003F60C3" w14:paraId="4250C9B6" w14:textId="77777777">
              <w:trPr>
                <w:trHeight w:val="326"/>
              </w:trPr>
              <w:tc>
                <w:tcPr>
                  <w:tcW w:w="937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D81236" w:rsidR="003F60C3" w:rsidP="00AD14E5" w:rsidRDefault="00AD14E5" w14:paraId="0B2C6CA6" w14:textId="41453407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D14E5">
                    <w:rPr>
                      <w:rFonts w:eastAsia="Times New Roman"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Cartilha - Modelos </w:t>
                  </w:r>
                  <w:r w:rsidR="00B606D9">
                    <w:rPr>
                      <w:rFonts w:eastAsia="Times New Roman"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–</w:t>
                  </w:r>
                  <w:r w:rsidRPr="00AD14E5">
                    <w:rPr>
                      <w:rFonts w:eastAsia="Times New Roman"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Formato</w:t>
                  </w:r>
                </w:p>
              </w:tc>
            </w:tr>
            <w:tr w:rsidRPr="00D81236" w:rsidR="003F60C3" w:rsidTr="003F60C3" w14:paraId="11517B96" w14:textId="77777777">
              <w:trPr>
                <w:trHeight w:val="326"/>
              </w:trPr>
              <w:tc>
                <w:tcPr>
                  <w:tcW w:w="937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auto"/>
                </w:tcPr>
                <w:p w:rsidR="006967B4" w:rsidP="004514EA" w:rsidRDefault="00AD14E5" w14:paraId="16E9C750" w14:textId="423CFA0A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A coordenadora </w:t>
                  </w:r>
                  <w:proofErr w:type="spellStart"/>
                  <w:r w:rsidR="00B606D9"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Emmily</w:t>
                  </w:r>
                  <w:proofErr w:type="spellEnd"/>
                  <w:r w:rsidR="00B606D9"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apresentou dois modelos de cartilhas sobre ATHIS do CAU/SC e do CAU/RS, (</w:t>
                  </w:r>
                  <w:hyperlink w:history="1" r:id="rId11">
                    <w:r w:rsidRPr="009B12FE" w:rsidR="00B606D9">
                      <w:rPr>
                        <w:rStyle w:val="Hyperlink"/>
                        <w:rFonts w:eastAsia="Times New Roman" w:asciiTheme="minorHAnsi" w:hAnsiTheme="minorHAnsi" w:cstheme="minorHAnsi"/>
                        <w:sz w:val="22"/>
                        <w:szCs w:val="22"/>
                        <w:lang w:eastAsia="pt-BR"/>
                      </w:rPr>
                      <w:t>https://www.caubr.gov.br/wp-content/uploads/2018/12/nova-cartilha.pdf</w:t>
                    </w:r>
                  </w:hyperlink>
                  <w:r w:rsidR="00B606D9"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).</w:t>
                  </w:r>
                </w:p>
                <w:p w:rsidR="00B606D9" w:rsidP="004514EA" w:rsidRDefault="00B606D9" w14:paraId="6D58003B" w14:textId="640DCEA5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:rsidR="00B606D9" w:rsidP="004514EA" w:rsidRDefault="00B606D9" w14:paraId="00BD697C" w14:textId="7F7AA15E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O conselheiro Mauri colocou que para ele a importância da cartilha é explicar para os proponentes como ter acesso aos editais, como preencher documentos e etc., em uma espécie de passo a passo. Ele também falou sobre a importância dessa cartilha não ser tão grande como as apresentadas.</w:t>
                  </w:r>
                  <w:r w:rsidR="00931E0D"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Abaixo o índice proposto pelo conselheiro:</w:t>
                  </w:r>
                </w:p>
                <w:p w:rsidRPr="00931E0D" w:rsidR="00931E0D" w:rsidP="00931E0D" w:rsidRDefault="00931E0D" w14:paraId="01EDD1BC" w14:textId="11140708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1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Capa</w:t>
                  </w:r>
                </w:p>
                <w:p w:rsidRPr="00931E0D" w:rsidR="00931E0D" w:rsidP="00931E0D" w:rsidRDefault="00931E0D" w14:paraId="1B93C701" w14:textId="485E6BC3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2.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Ficha catalog</w:t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r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 xml:space="preserve">áfica (Dados bibliográficos necessários para a identificação do trabalho em um acervo bibliotecário. Esses dados incluem autoria, total de folhas, tipo de trabalho (cartilha), palavras-chave relacionadas com o conteúdo do trabalho) </w:t>
                  </w:r>
                </w:p>
                <w:p w:rsidRPr="00931E0D" w:rsidR="00931E0D" w:rsidP="00931E0D" w:rsidRDefault="00931E0D" w14:paraId="0F464391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3.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Descrição do CAU e CATHIS (deve conter o nome do CAU e do Presidente e o nome da CATHIS, de seus componentes e equipe. Pela Ordem Coordenadora, Coordenadora Adjunta e demais membros)</w:t>
                  </w:r>
                </w:p>
                <w:p w:rsidRPr="00931E0D" w:rsidR="00931E0D" w:rsidP="00931E0D" w:rsidRDefault="00931E0D" w14:paraId="159ABFC2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4.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Folha de rosto (título do trabalho, dados do trabalho, nome do autor ano do trabalhos)</w:t>
                  </w:r>
                </w:p>
                <w:p w:rsidRPr="00931E0D" w:rsidR="00931E0D" w:rsidP="00931E0D" w:rsidRDefault="00931E0D" w14:paraId="6CBB4426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5.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Sumário (referência dos assuntos tratados e numeração das páginas)</w:t>
                  </w:r>
                </w:p>
                <w:p w:rsidRPr="00931E0D" w:rsidR="00931E0D" w:rsidP="00931E0D" w:rsidRDefault="00931E0D" w14:paraId="67325B5D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6.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Apresentação (resumo de todo o trabalho, fala do Presidente. Sugiro que aqui seja feita uma fala do Jeferson que foi quem implantou a CATHIS no CAU) – aqui começa a numeração das páginas</w:t>
                  </w:r>
                </w:p>
                <w:p w:rsidRPr="00931E0D" w:rsidR="00931E0D" w:rsidP="00931E0D" w:rsidRDefault="00931E0D" w14:paraId="11E7FED7" w14:textId="512E3508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7.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I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ntrodução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 xml:space="preserve"> (Fala dos assuntos a serem tratados e estimula sua leitura, organiza o roteiro)</w:t>
                  </w:r>
                </w:p>
                <w:p w:rsidRPr="00931E0D" w:rsidR="00931E0D" w:rsidP="00931E0D" w:rsidRDefault="00931E0D" w14:paraId="0C2841D8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8.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Procedimentos informativos para acesso aos programas de patrocínio do CAU</w:t>
                  </w:r>
                </w:p>
                <w:p w:rsidRPr="00931E0D" w:rsidR="00931E0D" w:rsidP="00931E0D" w:rsidRDefault="00931E0D" w14:paraId="7F72B6BC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9.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 xml:space="preserve"> Referências (Pesquisa pela internet Ed. UENP – Norma para elaboração de Cartilha)</w:t>
                  </w:r>
                </w:p>
                <w:p w:rsidRPr="00931E0D" w:rsidR="00931E0D" w:rsidP="00931E0D" w:rsidRDefault="00931E0D" w14:paraId="6ED93E22" w14:textId="77777777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10.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 xml:space="preserve"> Experiências do patrocínio do CAU (descreve sucintamente algumas experiências patrocinadas pelo CAU)</w:t>
                  </w:r>
                </w:p>
                <w:p w:rsidRPr="00931E0D" w:rsidR="00931E0D" w:rsidP="00931E0D" w:rsidRDefault="00931E0D" w14:paraId="1E8D7D79" w14:textId="1F3197AA">
                  <w:pPr>
                    <w:tabs>
                      <w:tab w:val="left" w:pos="1774"/>
                    </w:tabs>
                    <w:ind w:left="1480"/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</w:pP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>11.</w:t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ab/>
                  </w:r>
                  <w:r w:rsidRPr="00931E0D">
                    <w:rPr>
                      <w:rFonts w:eastAsia="Times New Roman" w:asciiTheme="minorHAnsi" w:hAnsiTheme="minorHAnsi" w:cstheme="minorHAnsi"/>
                      <w:sz w:val="20"/>
                      <w:szCs w:val="22"/>
                      <w:lang w:eastAsia="pt-BR"/>
                    </w:rPr>
                    <w:t xml:space="preserve"> Anexos (Descrição das leis referentes a Assistência técnica a Habitação de Interesse Social e Glossário)</w:t>
                  </w:r>
                </w:p>
                <w:p w:rsidR="00264039" w:rsidP="004514EA" w:rsidRDefault="00264039" w14:paraId="4BEACC88" w14:textId="77777777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:rsidR="00264039" w:rsidP="004514EA" w:rsidRDefault="00264039" w14:paraId="09B563D6" w14:textId="144D46A4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A conselheira Leslie lembrou que a cartilha foi originalmente pensada para as pessoas que </w:t>
                  </w:r>
                  <w:proofErr w:type="spellStart"/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parcerizam</w:t>
                  </w:r>
                  <w:proofErr w:type="spellEnd"/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com o CAU/RJ, para que elas não tenham dúvidas sobre a parceria, a prestação de contas inclusive. Ela falou da possibilidade de incluir pontos como as cartilhas apresentadas, elogiando a de SC, e retomou que a cartilha havia sido pensada para as entidades por um diagnóstico de que a maioria das parcerias realizadas não tem registro sobre o fomento, para que o CAU saiba o que de fato o fomento propiciou para as entidades.</w:t>
                  </w:r>
                </w:p>
                <w:p w:rsidR="00B606D9" w:rsidP="004514EA" w:rsidRDefault="00B606D9" w14:paraId="2DA5D84E" w14:textId="7777777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  <w:shd w:val="clear" w:color="auto" w:fill="FFFFFF"/>
                    </w:rPr>
                  </w:pPr>
                </w:p>
                <w:p w:rsidR="004345F4" w:rsidP="004514EA" w:rsidRDefault="004345F4" w14:paraId="366CCD7E" w14:textId="46FB2FF6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Mauri falou que a proposta de sumário enviada por ele no grupo de </w:t>
                  </w:r>
                  <w:proofErr w:type="spellStart"/>
                  <w:r w:rsid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W</w:t>
                  </w:r>
                  <w:r w:rsidRP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hats</w:t>
                  </w:r>
                  <w:r w:rsid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A</w:t>
                  </w:r>
                  <w:r w:rsidRP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pp</w:t>
                  </w:r>
                  <w:proofErr w:type="spellEnd"/>
                  <w:r w:rsidRPr="00931E0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da Comissão estava no sentido do que a Leslie falou, sugerindo que posteriormente seja realizada outra cartilha mais descritiva como as exemplificadas.</w:t>
                  </w:r>
                </w:p>
                <w:p w:rsidR="00810106" w:rsidP="004514EA" w:rsidRDefault="00810106" w14:paraId="61A36205" w14:textId="7777777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810106" w:rsidP="004514EA" w:rsidRDefault="00810106" w14:paraId="53F44257" w14:textId="194279EA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Os presentes concordaram com a proposta do Mauri. </w:t>
                  </w:r>
                </w:p>
                <w:p w:rsidR="002A174A" w:rsidP="004514EA" w:rsidRDefault="002A174A" w14:paraId="619F1C9E" w14:textId="7777777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1E0401" w:rsidP="001E0401" w:rsidRDefault="002A174A" w14:paraId="4B5E31B0" w14:textId="7193FCAC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O</w:t>
                  </w:r>
                  <w:r w:rsidR="001E040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Nicolas foi consultado sobre os prazos para a editoração da cartilha (designer e formatação). Ele informou que a assessoria está com muita demanda solicitando que o material seja enviado o quanto antes para entrar na fila das demandas já existentes. Foi sugerido que publicação da cartilha seja prevista para o lançamento do edital de ATHIS em 27 de junho.</w:t>
                  </w:r>
                </w:p>
                <w:p w:rsidR="001E0401" w:rsidP="001E0401" w:rsidRDefault="001E0401" w14:paraId="12F03BB9" w14:textId="7777777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Pr="002A174A" w:rsidR="00B606D9" w:rsidP="001E0401" w:rsidRDefault="00810106" w14:paraId="66BA3A0A" w14:textId="252FEF7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81010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Encaminhamentos: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Será criado um drive pela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Emmily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e o con</w:t>
                  </w:r>
                  <w:r w:rsidR="002A174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teúdo da cartilha será elaborado coletivamente pelos conselheiros no próprio documento do drive.</w:t>
                  </w:r>
                </w:p>
              </w:tc>
            </w:tr>
          </w:tbl>
          <w:p w:rsidRPr="00D81236" w:rsidR="003F60C3" w:rsidP="003F60C3" w:rsidRDefault="003F60C3" w14:paraId="3E75F7A1" w14:textId="3997AF4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2A31E3CC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3F60C3" w:rsidP="003F60C3" w:rsidRDefault="003F60C3" w14:paraId="200ADC67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D81236" w:rsidR="00752411" w:rsidP="003F60C3" w:rsidRDefault="00752411" w14:paraId="571A6217" w14:textId="27A5D5E1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16F4B22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tbl>
            <w:tblPr>
              <w:tblStyle w:val="Tabelacomgrade"/>
              <w:tblW w:w="9379" w:type="dxa"/>
              <w:tblLayout w:type="fixed"/>
              <w:tblLook w:val="04A0" w:firstRow="1" w:lastRow="0" w:firstColumn="1" w:lastColumn="0" w:noHBand="0" w:noVBand="1"/>
            </w:tblPr>
            <w:tblGrid>
              <w:gridCol w:w="9379"/>
            </w:tblGrid>
            <w:tr w:rsidRPr="00D81236" w:rsidR="003F60C3" w:rsidTr="000E7C0B" w14:paraId="39D8F6F0" w14:textId="77777777">
              <w:trPr>
                <w:trHeight w:val="326"/>
              </w:trPr>
              <w:tc>
                <w:tcPr>
                  <w:tcW w:w="937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D81236" w:rsidR="003F60C3" w:rsidP="00AD14E5" w:rsidRDefault="00AD14E5" w14:paraId="1A2C8AE3" w14:textId="43C07B3E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D14E5">
                    <w:rPr>
                      <w:rFonts w:eastAsia="MS Mincho" w:asciiTheme="minorHAnsi" w:hAnsiTheme="minorHAnsi" w:cstheme="minorHAnsi"/>
                      <w:b/>
                      <w:sz w:val="22"/>
                      <w:szCs w:val="22"/>
                    </w:rPr>
                    <w:t>Informes CAU nos Bairros</w:t>
                  </w:r>
                </w:p>
              </w:tc>
            </w:tr>
            <w:tr w:rsidRPr="00D81236" w:rsidR="003F60C3" w:rsidTr="000E7C0B" w14:paraId="0F65F8A4" w14:textId="77777777">
              <w:trPr>
                <w:trHeight w:val="326"/>
              </w:trPr>
              <w:tc>
                <w:tcPr>
                  <w:tcW w:w="937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auto"/>
                </w:tcPr>
                <w:p w:rsidR="004514EA" w:rsidP="004514EA" w:rsidRDefault="001E0401" w14:paraId="6A2926EC" w14:textId="024D6DA7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A coordenadora trouxe o informe da reunião do CAU nos bairros, a ser realizado em 18 e 19 de maio em Campos. </w:t>
                  </w:r>
                </w:p>
                <w:p w:rsidR="00093AFD" w:rsidP="004514EA" w:rsidRDefault="00093AFD" w14:paraId="13A7042F" w14:textId="77777777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:rsidR="00093AFD" w:rsidP="004514EA" w:rsidRDefault="00093AFD" w14:paraId="3FEC4BF0" w14:textId="4F058AC1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Proposta para chamar o pessoal da UMP para falar de regularização fundiária, chamando a Sônia Pereira. Foi conversado sobre a elaboração e uma mesa junto à OAB Campo Grande</w:t>
                  </w:r>
                  <w:r w:rsidR="002B27B5"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. </w:t>
                  </w:r>
                </w:p>
                <w:p w:rsidR="002B27B5" w:rsidP="004514EA" w:rsidRDefault="002B27B5" w14:paraId="22A8DC1E" w14:textId="77777777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:rsidR="002B27B5" w:rsidP="004514EA" w:rsidRDefault="002B27B5" w14:paraId="431121BF" w14:textId="1D87D5DA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A conselheira Leslie vai conversar com os moradores do Conjunto esperança para ver a possibilidade de uma fala deles no evento, em especial porque eles estão discutindo propriedade coletiva.</w:t>
                  </w:r>
                </w:p>
                <w:p w:rsidR="005E1B13" w:rsidP="004514EA" w:rsidRDefault="005E1B13" w14:paraId="6F5A5DB8" w14:textId="77777777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:rsidR="005E1B13" w:rsidP="004514EA" w:rsidRDefault="005E1B13" w14:paraId="78CA49AF" w14:textId="0B70BE82">
                  <w:pPr>
                    <w:jc w:val="both"/>
                    <w:textAlignment w:val="baseline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>Leslie compartilhou o informe de que conversou com Luciano Falcão do IFF e ela já está com os contatos para a atividade em Campos.</w:t>
                  </w:r>
                  <w:bookmarkStart w:name="_GoBack" w:id="0"/>
                  <w:bookmarkEnd w:id="0"/>
                </w:p>
                <w:p w:rsidRPr="00752411" w:rsidR="00093AFD" w:rsidP="004514EA" w:rsidRDefault="00093AFD" w14:paraId="7BDE7F79" w14:textId="77777777">
                  <w:pPr>
                    <w:jc w:val="both"/>
                    <w:textAlignment w:val="baseline"/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</w:p>
                <w:p w:rsidRPr="00D81236" w:rsidR="00093AFD" w:rsidP="00093AFD" w:rsidRDefault="00093AFD" w14:paraId="4BA7B52E" w14:textId="1A635256">
                  <w:pPr>
                    <w:jc w:val="both"/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752411">
                    <w:rPr>
                      <w:rFonts w:eastAsia="Times New Roman"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Encaminhamento:</w:t>
                  </w:r>
                  <w:r>
                    <w:rPr>
                      <w:rFonts w:eastAsia="Times New Roman"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Será </w:t>
                  </w:r>
                  <w:r w:rsidR="002B27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elaborado pelos conselheiros um folder sobre a comissão e ATHIS</w:t>
                  </w:r>
                  <w:r w:rsidR="005E1B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Pr="00752411" w:rsidR="003F60C3" w:rsidP="004514EA" w:rsidRDefault="003F60C3" w14:paraId="27EECE1D" w14:textId="566C7A28">
                  <w:pPr>
                    <w:jc w:val="center"/>
                    <w:textAlignment w:val="baseline"/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D81236" w:rsidR="003F60C3" w:rsidP="003F60C3" w:rsidRDefault="003F60C3" w14:paraId="791432F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4748981E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81236" w:rsidR="003F60C3" w:rsidP="003F60C3" w:rsidRDefault="003F60C3" w14:paraId="14DEED77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D81236" w:rsidR="003F60C3" w:rsidTr="7E5492F1" w14:paraId="2D4067E2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3F60C3" w:rsidRDefault="00752411" w14:paraId="63F99B09" w14:textId="75434D3F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1236" w:rsidR="003F60C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Pr="00D81236" w:rsidR="003F60C3" w:rsidTr="7E5492F1" w14:paraId="03E69F76" w14:textId="77777777">
        <w:trPr>
          <w:trHeight w:val="70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3F60C3" w:rsidRDefault="003F60C3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D66416" w:rsidP="3EA4AC49" w:rsidRDefault="00D66416" w14:paraId="328E0328" w14:textId="6519D4E9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A4AC49" w:rsidR="003F60C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 reunião foi </w:t>
            </w:r>
            <w:r w:rsidRPr="3EA4AC49" w:rsidR="003F60C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encerrada às 1</w:t>
            </w:r>
            <w:r w:rsidRPr="3EA4AC49" w:rsidR="00A6696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8</w:t>
            </w:r>
            <w:r w:rsidRPr="3EA4AC49" w:rsidR="003F60C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</w:t>
            </w:r>
            <w:r w:rsidRPr="3EA4AC49" w:rsidR="005E1B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4</w:t>
            </w:r>
            <w:r w:rsidRPr="3EA4AC49" w:rsidR="002B27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</w:t>
            </w:r>
            <w:r w:rsidRPr="3EA4AC49" w:rsidR="003F60C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D81236" w:rsidR="000310DD" w:rsidTr="00272DCB" w14:paraId="36CC35FA" w14:textId="77777777">
        <w:tc>
          <w:tcPr>
            <w:tcW w:w="9213" w:type="dxa"/>
            <w:shd w:val="clear" w:color="auto" w:fill="auto"/>
          </w:tcPr>
          <w:p w:rsidRPr="00D81236" w:rsidR="00197331" w:rsidP="00666781" w:rsidRDefault="00197331" w14:paraId="34FF1C98" w14:textId="2FCBA3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1236" w:rsidR="004C628A" w:rsidP="00666781" w:rsidRDefault="004C628A" w14:paraId="324C90D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1236" w:rsidR="004C628A" w:rsidP="00666781" w:rsidRDefault="004C628A" w14:paraId="6EA1495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1236" w:rsidR="00F37EBB" w:rsidP="00F37EBB" w:rsidRDefault="00F37EBB" w14:paraId="2CC8EBC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1236" w:rsidR="00D81236" w:rsidP="002A3FF8" w:rsidRDefault="00D81236" w14:paraId="0B6475D0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:rsidRPr="00D81236" w:rsidR="00272DCB" w:rsidP="002A3FF8" w:rsidRDefault="00EE1B49" w14:paraId="259518C8" w14:textId="45B6A8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D81236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1236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D81236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Pr="00D81236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D81236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855BA2" w:rsidR="00272DCB" w:rsidP="00BA3F4B" w:rsidRDefault="00272DCB" w14:paraId="664355AD" w14:textId="77777777">
      <w:pPr>
        <w:rPr>
          <w:rFonts w:asciiTheme="minorHAnsi" w:hAnsiTheme="minorHAnsi" w:cstheme="minorHAnsi"/>
        </w:rPr>
      </w:pPr>
    </w:p>
    <w:sectPr w:rsidRPr="00855BA2" w:rsidR="00272DCB" w:rsidSect="0053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BF" w:rsidP="004C3048" w:rsidRDefault="00E446BF" w14:paraId="44587DEC" w14:textId="77777777">
      <w:r>
        <w:separator/>
      </w:r>
    </w:p>
  </w:endnote>
  <w:endnote w:type="continuationSeparator" w:id="0">
    <w:p w:rsidR="00E446BF" w:rsidP="004C3048" w:rsidRDefault="00E446BF" w14:paraId="64BC37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BF" w:rsidP="004C3048" w:rsidRDefault="00E446BF" w14:paraId="564DDCF7" w14:textId="77777777">
      <w:r>
        <w:separator/>
      </w:r>
    </w:p>
  </w:footnote>
  <w:footnote w:type="continuationSeparator" w:id="0">
    <w:p w:rsidR="00E446BF" w:rsidP="004C3048" w:rsidRDefault="00E446BF" w14:paraId="478461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8266B" w:rsidR="00DE1BFC" w:rsidP="001E71B8" w:rsidRDefault="001E71B8" w14:paraId="354D3D1E" w14:textId="77BD132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pt-BR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148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3EA4AC49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ink/ink1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aubr.gov.br/wp-content/uploads/2018/12/nova-cartilha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3FB4-2295-4F28-BC95-5751AC2280C8}"/>
</file>

<file path=customXml/itemProps2.xml><?xml version="1.0" encoding="utf-8"?>
<ds:datastoreItem xmlns:ds="http://schemas.openxmlformats.org/officeDocument/2006/customXml" ds:itemID="{188AED0E-AE49-4731-8159-D7B1BAF4F350}">
  <ds:schemaRefs>
    <ds:schemaRef ds:uri="0480c6af-c572-468c-a68e-54b487bd4d8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AB2C9-7FF7-43B8-BC2F-2591DCC25A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Antao</cp:lastModifiedBy>
  <cp:revision>16</cp:revision>
  <cp:lastPrinted>2021-11-11T20:15:00Z</cp:lastPrinted>
  <dcterms:created xsi:type="dcterms:W3CDTF">2022-03-28T17:38:00Z</dcterms:created>
  <dcterms:modified xsi:type="dcterms:W3CDTF">2022-06-13T14:41:49Z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