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Heading1"/>
        <w:spacing w:before="92"/>
      </w:pPr>
      <w:r>
        <w:rPr/>
        <w:t>PORTARIA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009/2020 -</w:t>
      </w:r>
      <w:r>
        <w:rPr>
          <w:spacing w:val="-2"/>
        </w:rPr>
        <w:t> </w:t>
      </w:r>
      <w:r>
        <w:rPr/>
        <w:t>CAU/RJ, 27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 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647" w:right="10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Dispõe sobre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contingência,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minimizar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represamento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excessivo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processuais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serem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exercidos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CED-CAU/RJ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após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término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suspensão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prazos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processuais.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08"/>
        <w:ind w:left="102" w:right="112"/>
        <w:jc w:val="both"/>
      </w:pPr>
      <w:r>
        <w:rPr/>
        <w:t>Considerando que a pandemia causada pelo Novo Corona Vírus ocasionou uma série</w:t>
      </w:r>
      <w:r>
        <w:rPr>
          <w:spacing w:val="1"/>
        </w:rPr>
        <w:t> </w:t>
      </w:r>
      <w:r>
        <w:rPr/>
        <w:t>de medidas de ordem administrativa e normativa por parte do Poder Público em todas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esferas da Administração Pública.</w:t>
      </w:r>
    </w:p>
    <w:p>
      <w:pPr>
        <w:pStyle w:val="BodyText"/>
        <w:spacing w:before="1"/>
      </w:pPr>
    </w:p>
    <w:p>
      <w:pPr>
        <w:pStyle w:val="BodyText"/>
        <w:ind w:left="102" w:right="107"/>
        <w:jc w:val="both"/>
      </w:pPr>
      <w:r>
        <w:rPr/>
        <w:t>Considerando a Deliberação Plenária nº 0007-06/2020 do Conselho de Arquitetura e</w:t>
      </w:r>
      <w:r>
        <w:rPr>
          <w:spacing w:val="1"/>
        </w:rPr>
        <w:t> </w:t>
      </w:r>
      <w:r>
        <w:rPr/>
        <w:t>Urbanismo do Brasil – CAU/BR que manteve a suspensão dos prazos processuais nos</w:t>
      </w:r>
      <w:r>
        <w:rPr>
          <w:spacing w:val="1"/>
        </w:rPr>
        <w:t> </w:t>
      </w:r>
      <w:r>
        <w:rPr/>
        <w:t>processos punitivos no âmbito do CAU/BR e dos CAU/UF, notadamente nos processos</w:t>
      </w:r>
      <w:r>
        <w:rPr>
          <w:spacing w:val="-64"/>
        </w:rPr>
        <w:t> </w:t>
      </w:r>
      <w:r>
        <w:rPr/>
        <w:t>de fiscalização e ético-disciplinares, enquanto perdurar o estado de calamidade pública</w:t>
      </w:r>
      <w:r>
        <w:rPr>
          <w:spacing w:val="-64"/>
        </w:rPr>
        <w:t> </w:t>
      </w:r>
      <w:r>
        <w:rPr/>
        <w:t>relacionada</w:t>
      </w:r>
      <w:r>
        <w:rPr>
          <w:spacing w:val="-3"/>
        </w:rPr>
        <w:t> </w:t>
      </w:r>
      <w:r>
        <w:rPr/>
        <w:t>ao Novo Corona</w:t>
      </w:r>
      <w:r>
        <w:rPr>
          <w:spacing w:val="-2"/>
        </w:rPr>
        <w:t> </w:t>
      </w:r>
      <w:r>
        <w:rPr/>
        <w:t>Vírus.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Considerando o exposto no ítem 1.1.2. que esclarece que a suspensão dos prazos</w:t>
      </w:r>
      <w:r>
        <w:rPr>
          <w:spacing w:val="1"/>
        </w:rPr>
        <w:t> </w:t>
      </w:r>
      <w:r>
        <w:rPr/>
        <w:t>processuais não impede a intimação das partes para ter ciência de decisões e praticar</w:t>
      </w:r>
      <w:r>
        <w:rPr>
          <w:spacing w:val="1"/>
        </w:rPr>
        <w:t> </w:t>
      </w:r>
      <w:r>
        <w:rPr/>
        <w:t>atos processuais, informando-se, neste caso, de forma expressa e clara, que, o prazo</w:t>
      </w:r>
      <w:r>
        <w:rPr>
          <w:spacing w:val="1"/>
        </w:rPr>
        <w:t> </w:t>
      </w:r>
      <w:r>
        <w:rPr/>
        <w:t>para a providência determinada no ato intimatório começará a correr somente após o</w:t>
      </w:r>
      <w:r>
        <w:rPr>
          <w:spacing w:val="1"/>
        </w:rPr>
        <w:t> </w:t>
      </w:r>
      <w:r>
        <w:rPr/>
        <w:t>término do período de suspensão em razão da pandemia de Covid-19, na forma das</w:t>
      </w:r>
      <w:r>
        <w:rPr>
          <w:spacing w:val="1"/>
        </w:rPr>
        <w:t> </w:t>
      </w:r>
      <w:r>
        <w:rPr/>
        <w:t>determinações</w:t>
      </w:r>
      <w:r>
        <w:rPr>
          <w:spacing w:val="-1"/>
        </w:rPr>
        <w:t> </w:t>
      </w:r>
      <w:r>
        <w:rPr/>
        <w:t>legais</w:t>
      </w:r>
      <w:r>
        <w:rPr>
          <w:spacing w:val="-3"/>
        </w:rPr>
        <w:t> </w:t>
      </w:r>
      <w:r>
        <w:rPr/>
        <w:t>e regulamentares.</w:t>
      </w:r>
    </w:p>
    <w:p>
      <w:pPr>
        <w:pStyle w:val="BodyText"/>
        <w:spacing w:before="228"/>
        <w:ind w:left="102" w:right="106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processuais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dependem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intimação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manifestação das partes continuaram a ser exercidos pela CED-CAU/RJ nos processos</w:t>
      </w:r>
      <w:r>
        <w:rPr>
          <w:spacing w:val="-64"/>
        </w:rPr>
        <w:t> </w:t>
      </w:r>
      <w:r>
        <w:rPr>
          <w:spacing w:val="-1"/>
        </w:rPr>
        <w:t>éticos-disciplinares,</w:t>
      </w:r>
      <w:r>
        <w:rPr>
          <w:spacing w:val="-15"/>
        </w:rPr>
        <w:t> </w:t>
      </w:r>
      <w:r>
        <w:rPr>
          <w:spacing w:val="-1"/>
        </w:rPr>
        <w:t>gerando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acúmulo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atos</w:t>
      </w:r>
      <w:r>
        <w:rPr>
          <w:spacing w:val="-14"/>
        </w:rPr>
        <w:t> </w:t>
      </w:r>
      <w:r>
        <w:rPr/>
        <w:t>aguardando</w:t>
      </w:r>
      <w:r>
        <w:rPr>
          <w:spacing w:val="-12"/>
        </w:rPr>
        <w:t> </w:t>
      </w:r>
      <w:r>
        <w:rPr/>
        <w:t>intimação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partes</w:t>
      </w:r>
      <w:r>
        <w:rPr>
          <w:spacing w:val="-14"/>
        </w:rPr>
        <w:t> </w:t>
      </w:r>
      <w:r>
        <w:rPr/>
        <w:t>após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 de</w:t>
      </w:r>
      <w:r>
        <w:rPr>
          <w:spacing w:val="-2"/>
        </w:rPr>
        <w:t> </w:t>
      </w:r>
      <w:r>
        <w:rPr/>
        <w:t>suspensão de</w:t>
      </w:r>
      <w:r>
        <w:rPr>
          <w:spacing w:val="-2"/>
        </w:rPr>
        <w:t> </w:t>
      </w:r>
      <w:r>
        <w:rPr/>
        <w:t>prazos</w:t>
      </w:r>
      <w:r>
        <w:rPr>
          <w:spacing w:val="-3"/>
        </w:rPr>
        <w:t> </w:t>
      </w:r>
      <w:r>
        <w:rPr/>
        <w:t>processuais.</w:t>
      </w:r>
    </w:p>
    <w:p>
      <w:pPr>
        <w:pStyle w:val="BodyText"/>
        <w:spacing w:before="231"/>
        <w:ind w:left="102" w:right="114"/>
        <w:jc w:val="both"/>
      </w:pPr>
      <w:r>
        <w:rPr/>
        <w:t>Considerando a necessidade de adotar medida de contingência, a fim de minimizar o</w:t>
      </w:r>
      <w:r>
        <w:rPr>
          <w:spacing w:val="1"/>
        </w:rPr>
        <w:t> </w:t>
      </w:r>
      <w:r>
        <w:rPr/>
        <w:t>represamento excessivo de atos processuais a serem exercidos ao mesmo tempo na</w:t>
      </w:r>
      <w:r>
        <w:rPr>
          <w:spacing w:val="1"/>
        </w:rPr>
        <w:t> </w:t>
      </w:r>
      <w:r>
        <w:rPr/>
        <w:t>CED-CAU/RJ</w:t>
      </w:r>
      <w:r>
        <w:rPr>
          <w:spacing w:val="-1"/>
        </w:rPr>
        <w:t> </w:t>
      </w:r>
      <w:r>
        <w:rPr/>
        <w:t>após o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suspensão</w:t>
      </w:r>
      <w:r>
        <w:rPr>
          <w:spacing w:val="-2"/>
        </w:rPr>
        <w:t> </w:t>
      </w:r>
      <w:r>
        <w:rPr/>
        <w:t>dos prazos processuais.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10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RESOLVE: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before="92"/>
        <w:ind w:left="102" w:right="106"/>
        <w:jc w:val="both"/>
      </w:pPr>
      <w:r>
        <w:rPr>
          <w:rFonts w:ascii="Arial" w:hAnsi="Arial"/>
          <w:b/>
        </w:rPr>
        <w:t>Art. 1º.</w:t>
      </w:r>
      <w:r>
        <w:rPr>
          <w:rFonts w:ascii="Arial" w:hAnsi="Arial"/>
          <w:b/>
          <w:spacing w:val="1"/>
        </w:rPr>
        <w:t> </w:t>
      </w:r>
      <w:r>
        <w:rPr/>
        <w:t>Seja expedido um comunicado geral, com ampla publicidade, para que os</w:t>
      </w:r>
      <w:r>
        <w:rPr>
          <w:spacing w:val="1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ético-disciplinares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manifestar-se</w:t>
      </w:r>
      <w:r>
        <w:rPr>
          <w:spacing w:val="1"/>
        </w:rPr>
        <w:t> </w:t>
      </w:r>
      <w:r>
        <w:rPr/>
        <w:t>espontaneamente nos respectivos processos em trâmite na CED-CAU/RJ, enquanto</w:t>
      </w:r>
      <w:r>
        <w:rPr>
          <w:spacing w:val="1"/>
        </w:rPr>
        <w:t> </w:t>
      </w:r>
      <w:r>
        <w:rPr/>
        <w:t>perdurar</w:t>
      </w:r>
      <w:r>
        <w:rPr>
          <w:spacing w:val="-4"/>
        </w:rPr>
        <w:t> </w:t>
      </w:r>
      <w:r>
        <w:rPr/>
        <w:t>o período de</w:t>
      </w:r>
      <w:r>
        <w:rPr>
          <w:spacing w:val="-2"/>
        </w:rPr>
        <w:t> </w:t>
      </w:r>
      <w:r>
        <w:rPr/>
        <w:t>suspensão de</w:t>
      </w:r>
      <w:r>
        <w:rPr>
          <w:spacing w:val="-2"/>
        </w:rPr>
        <w:t> </w:t>
      </w:r>
      <w:r>
        <w:rPr/>
        <w:t>prazos</w:t>
      </w:r>
      <w:r>
        <w:rPr>
          <w:spacing w:val="-3"/>
        </w:rPr>
        <w:t> </w:t>
      </w:r>
      <w:r>
        <w:rPr/>
        <w:t>processuais.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6" w:footer="747" w:top="1960" w:bottom="940" w:left="1600" w:right="740"/>
          <w:pgNumType w:start="1"/>
        </w:sect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spacing w:before="92"/>
        <w:ind w:left="102" w:right="105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1"/>
        </w:rPr>
        <w:t> </w:t>
      </w:r>
      <w:r>
        <w:rPr/>
        <w:t>Passem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expedidas,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trâmite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CED-CAU/RJ,</w:t>
      </w:r>
      <w:r>
        <w:rPr>
          <w:spacing w:val="1"/>
        </w:rPr>
        <w:t> </w:t>
      </w:r>
      <w:r>
        <w:rPr/>
        <w:t>comunicações às partes/interessados referentes aos atos processuais realizados, para</w:t>
      </w:r>
      <w:r>
        <w:rPr>
          <w:spacing w:val="1"/>
        </w:rPr>
        <w:t> </w:t>
      </w:r>
      <w:r>
        <w:rPr/>
        <w:t>que estes, querendo, possam manifestar-se espontaneamente enquanto perdurar o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 suspensão</w:t>
      </w:r>
      <w:r>
        <w:rPr>
          <w:spacing w:val="1"/>
        </w:rPr>
        <w:t> </w:t>
      </w:r>
      <w:r>
        <w:rPr/>
        <w:t>de prazos processuais.</w:t>
      </w:r>
    </w:p>
    <w:p>
      <w:pPr>
        <w:pStyle w:val="BodyText"/>
        <w:spacing w:before="231"/>
        <w:ind w:lef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3º</w:t>
      </w:r>
      <w:r>
        <w:rPr/>
        <w:t>.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assinatura.</w:t>
      </w:r>
    </w:p>
    <w:p>
      <w:pPr>
        <w:pStyle w:val="BodyText"/>
        <w:spacing w:before="230"/>
        <w:ind w:left="10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4º</w:t>
      </w:r>
      <w:r>
        <w:rPr/>
        <w:t>. Dê-se</w:t>
      </w:r>
      <w:r>
        <w:rPr>
          <w:spacing w:val="-2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 cumpra-se.</w:t>
      </w: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02"/>
        <w:jc w:val="both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3"/>
        <w:ind w:left="3544" w:right="3552" w:firstLine="3"/>
        <w:jc w:val="center"/>
      </w:pPr>
      <w:r>
        <w:rPr/>
        <w:pict>
          <v:group style="position:absolute;margin-left:251.25pt;margin-top:-61.414146pt;width:131.4pt;height:69.75pt;mso-position-horizontal-relative:page;mso-position-vertical-relative:paragraph;z-index:-15791104" coordorigin="5025,-1228" coordsize="2628,1395">
            <v:shape style="position:absolute;left:5025;top:-1229;width:2628;height:1395" type="#_x0000_t75" stroked="false">
              <v:imagedata r:id="rId7" o:title=""/>
            </v:shape>
            <v:shape style="position:absolute;left:5025;top:-1229;width:2628;height:13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78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Jeferson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R.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M.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Salazar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CAU/RN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before="91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996" w:footer="747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0592" from="89.25pt,791.201965pt" to="546.75pt,791.251965pt" stroked="true" strokeweight="1.2472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484497pt;width:311.4pt;height:13.0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1116965</wp:posOffset>
          </wp:positionH>
          <wp:positionV relativeFrom="page">
            <wp:posOffset>632649</wp:posOffset>
          </wp:positionV>
          <wp:extent cx="5872520" cy="6188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520" cy="618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2022-05-11T20:04:18Z</dcterms:created>
  <dcterms:modified xsi:type="dcterms:W3CDTF">2022-05-11T20:04:18Z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2022-05-11T00:00:00Z</vt:filetime>
  </property>
</Properties>
</file>