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12"/>
        </w:rPr>
      </w:pPr>
    </w:p>
    <w:p>
      <w:pPr>
        <w:pStyle w:val="Heading2"/>
        <w:spacing w:before="92"/>
        <w:ind w:left="200"/>
      </w:pPr>
      <w:r>
        <w:rPr/>
        <w:t>PORTARIA</w:t>
      </w:r>
      <w:r>
        <w:rPr>
          <w:spacing w:val="-8"/>
        </w:rPr>
        <w:t> </w:t>
      </w:r>
      <w:r>
        <w:rPr/>
        <w:t>NORMATIVA</w:t>
      </w:r>
      <w:r>
        <w:rPr>
          <w:spacing w:val="-8"/>
        </w:rPr>
        <w:t> </w:t>
      </w:r>
      <w:r>
        <w:rPr/>
        <w:t>Nº</w:t>
      </w:r>
      <w:r>
        <w:rPr>
          <w:spacing w:val="2"/>
        </w:rPr>
        <w:t> </w:t>
      </w:r>
      <w:r>
        <w:rPr/>
        <w:t>001/2021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CAU/RJ,</w:t>
      </w:r>
      <w:r>
        <w:rPr>
          <w:spacing w:val="1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AGOSTO</w:t>
      </w:r>
      <w:r>
        <w:rPr>
          <w:spacing w:val="3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180"/>
        <w:ind w:left="4497" w:right="116"/>
        <w:jc w:val="both"/>
      </w:pPr>
      <w:r>
        <w:rPr/>
        <w:t>Altera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Portaria</w:t>
      </w:r>
      <w:r>
        <w:rPr>
          <w:spacing w:val="1"/>
        </w:rPr>
        <w:t> </w:t>
      </w:r>
      <w:r>
        <w:rPr/>
        <w:t>Normativa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008/2020</w:t>
      </w:r>
      <w:r>
        <w:rPr>
          <w:spacing w:val="42"/>
        </w:rPr>
        <w:t> </w:t>
      </w:r>
      <w:r>
        <w:rPr/>
        <w:t>–</w:t>
      </w:r>
      <w:r>
        <w:rPr>
          <w:spacing w:val="41"/>
        </w:rPr>
        <w:t> </w:t>
      </w:r>
      <w:r>
        <w:rPr/>
        <w:t>PRES/CAU,</w:t>
      </w:r>
      <w:r>
        <w:rPr>
          <w:spacing w:val="42"/>
        </w:rPr>
        <w:t> </w:t>
      </w:r>
      <w:r>
        <w:rPr/>
        <w:t>de</w:t>
      </w:r>
      <w:r>
        <w:rPr>
          <w:spacing w:val="40"/>
        </w:rPr>
        <w:t> </w:t>
      </w:r>
      <w:r>
        <w:rPr/>
        <w:t>09</w:t>
      </w:r>
      <w:r>
        <w:rPr>
          <w:spacing w:val="40"/>
        </w:rPr>
        <w:t> </w:t>
      </w:r>
      <w:r>
        <w:rPr/>
        <w:t>de</w:t>
      </w:r>
    </w:p>
    <w:p>
      <w:pPr>
        <w:pStyle w:val="BodyText"/>
        <w:ind w:left="4497" w:right="120"/>
        <w:jc w:val="both"/>
      </w:pPr>
      <w:r>
        <w:rPr/>
        <w:t>outubro de 2020, para fixar o reajuste</w:t>
      </w:r>
      <w:r>
        <w:rPr>
          <w:spacing w:val="1"/>
        </w:rPr>
        <w:t> </w:t>
      </w:r>
      <w:r>
        <w:rPr/>
        <w:t>anual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valores</w:t>
      </w:r>
      <w:r>
        <w:rPr>
          <w:spacing w:val="-15"/>
        </w:rPr>
        <w:t> </w:t>
      </w:r>
      <w:r>
        <w:rPr/>
        <w:t>constantes</w:t>
      </w:r>
      <w:r>
        <w:rPr>
          <w:spacing w:val="-15"/>
        </w:rPr>
        <w:t> </w:t>
      </w:r>
      <w:r>
        <w:rPr/>
        <w:t>da</w:t>
      </w:r>
      <w:r>
        <w:rPr>
          <w:spacing w:val="-14"/>
        </w:rPr>
        <w:t> </w:t>
      </w:r>
      <w:r>
        <w:rPr/>
        <w:t>tabela</w:t>
      </w:r>
      <w:r>
        <w:rPr>
          <w:spacing w:val="-64"/>
        </w:rPr>
        <w:t> </w:t>
      </w:r>
      <w:r>
        <w:rPr/>
        <w:t>de</w:t>
      </w:r>
      <w:r>
        <w:rPr>
          <w:spacing w:val="-1"/>
        </w:rPr>
        <w:t> </w:t>
      </w:r>
      <w:r>
        <w:rPr/>
        <w:t>reembolso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mês</w:t>
      </w:r>
      <w:r>
        <w:rPr>
          <w:spacing w:val="-6"/>
        </w:rPr>
        <w:t> </w:t>
      </w:r>
      <w:r>
        <w:rPr/>
        <w:t>de julho.</w:t>
      </w:r>
    </w:p>
    <w:p>
      <w:pPr>
        <w:pStyle w:val="BodyText"/>
      </w:pPr>
    </w:p>
    <w:p>
      <w:pPr>
        <w:pStyle w:val="BodyText"/>
        <w:ind w:left="102" w:right="118"/>
        <w:jc w:val="both"/>
      </w:pPr>
      <w:r>
        <w:rPr/>
        <w:t>Considerando o artigo 35 da Lei nº 12.378/2010, que confere ao Presidente do</w:t>
      </w:r>
      <w:r>
        <w:rPr>
          <w:spacing w:val="1"/>
        </w:rPr>
        <w:t> </w:t>
      </w:r>
      <w:r>
        <w:rPr/>
        <w:t>Conselho de Arquitetura e Urbanismo do Rio de Janeiro – CAU/RJ a atribuição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tratar das questões</w:t>
      </w:r>
      <w:r>
        <w:rPr>
          <w:spacing w:val="-2"/>
        </w:rPr>
        <w:t> </w:t>
      </w:r>
      <w:r>
        <w:rPr/>
        <w:t>administrativas</w:t>
      </w:r>
      <w:r>
        <w:rPr>
          <w:spacing w:val="-1"/>
        </w:rPr>
        <w:t> </w:t>
      </w:r>
      <w:r>
        <w:rPr/>
        <w:t>do CAU;</w:t>
      </w:r>
    </w:p>
    <w:p>
      <w:pPr>
        <w:pStyle w:val="BodyText"/>
        <w:spacing w:before="1"/>
      </w:pPr>
    </w:p>
    <w:p>
      <w:pPr>
        <w:pStyle w:val="BodyText"/>
        <w:ind w:left="102" w:right="116" w:firstLine="67"/>
        <w:jc w:val="both"/>
      </w:pPr>
      <w:r>
        <w:rPr/>
        <w:t>Considerando a Portaria Normativa nº 001/2017 – PRES-CAU/RJ, de 17 de</w:t>
      </w:r>
      <w:r>
        <w:rPr>
          <w:spacing w:val="1"/>
        </w:rPr>
        <w:t> </w:t>
      </w:r>
      <w:r>
        <w:rPr/>
        <w:t>março de 2017, que institui e regulamenta o reembolso aos servidores do</w:t>
      </w:r>
      <w:r>
        <w:rPr>
          <w:spacing w:val="1"/>
        </w:rPr>
        <w:t> </w:t>
      </w:r>
      <w:r>
        <w:rPr/>
        <w:t>Conselho</w:t>
      </w:r>
      <w:r>
        <w:rPr>
          <w:spacing w:val="-15"/>
        </w:rPr>
        <w:t> </w:t>
      </w:r>
      <w:r>
        <w:rPr/>
        <w:t>de</w:t>
      </w:r>
      <w:r>
        <w:rPr>
          <w:spacing w:val="-16"/>
        </w:rPr>
        <w:t> </w:t>
      </w:r>
      <w:r>
        <w:rPr/>
        <w:t>Arquitetura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Urbanismo</w:t>
      </w:r>
      <w:r>
        <w:rPr>
          <w:spacing w:val="-15"/>
        </w:rPr>
        <w:t> </w:t>
      </w:r>
      <w:r>
        <w:rPr/>
        <w:t>do</w:t>
      </w:r>
      <w:r>
        <w:rPr>
          <w:spacing w:val="-12"/>
        </w:rPr>
        <w:t> </w:t>
      </w:r>
      <w:r>
        <w:rPr/>
        <w:t>Rio</w:t>
      </w:r>
      <w:r>
        <w:rPr>
          <w:spacing w:val="-16"/>
        </w:rPr>
        <w:t> </w:t>
      </w:r>
      <w:r>
        <w:rPr/>
        <w:t>de</w:t>
      </w:r>
      <w:r>
        <w:rPr>
          <w:spacing w:val="-12"/>
        </w:rPr>
        <w:t> </w:t>
      </w:r>
      <w:r>
        <w:rPr/>
        <w:t>Janeiro</w:t>
      </w:r>
      <w:r>
        <w:rPr>
          <w:spacing w:val="-7"/>
        </w:rPr>
        <w:t> </w:t>
      </w:r>
      <w:r>
        <w:rPr/>
        <w:t>–</w:t>
      </w:r>
      <w:r>
        <w:rPr>
          <w:spacing w:val="-13"/>
        </w:rPr>
        <w:t> </w:t>
      </w:r>
      <w:r>
        <w:rPr/>
        <w:t>CAU/RJ,</w:t>
      </w:r>
      <w:r>
        <w:rPr>
          <w:spacing w:val="-15"/>
        </w:rPr>
        <w:t> </w:t>
      </w:r>
      <w:r>
        <w:rPr/>
        <w:t>referente</w:t>
      </w:r>
      <w:r>
        <w:rPr>
          <w:spacing w:val="-15"/>
        </w:rPr>
        <w:t> </w:t>
      </w:r>
      <w:r>
        <w:rPr/>
        <w:t>aos</w:t>
      </w:r>
      <w:r>
        <w:rPr>
          <w:spacing w:val="-64"/>
        </w:rPr>
        <w:t> </w:t>
      </w:r>
      <w:r>
        <w:rPr/>
        <w:t>gastos</w:t>
      </w:r>
      <w:r>
        <w:rPr>
          <w:spacing w:val="-1"/>
        </w:rPr>
        <w:t> </w:t>
      </w:r>
      <w:r>
        <w:rPr/>
        <w:t>com</w:t>
      </w:r>
      <w:r>
        <w:rPr>
          <w:spacing w:val="1"/>
        </w:rPr>
        <w:t> </w:t>
      </w:r>
      <w:r>
        <w:rPr/>
        <w:t>plano</w:t>
      </w:r>
      <w:r>
        <w:rPr>
          <w:spacing w:val="-2"/>
        </w:rPr>
        <w:t> </w:t>
      </w:r>
      <w:r>
        <w:rPr/>
        <w:t>de saúde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dá</w:t>
      </w:r>
      <w:r>
        <w:rPr>
          <w:spacing w:val="-2"/>
        </w:rPr>
        <w:t> </w:t>
      </w:r>
      <w:r>
        <w:rPr/>
        <w:t>outras</w:t>
      </w:r>
      <w:r>
        <w:rPr>
          <w:spacing w:val="-3"/>
        </w:rPr>
        <w:t> </w:t>
      </w:r>
      <w:r>
        <w:rPr/>
        <w:t>providências;</w:t>
      </w:r>
    </w:p>
    <w:p>
      <w:pPr>
        <w:pStyle w:val="BodyText"/>
      </w:pPr>
    </w:p>
    <w:p>
      <w:pPr>
        <w:pStyle w:val="BodyText"/>
        <w:ind w:left="102" w:right="116"/>
        <w:jc w:val="both"/>
      </w:pPr>
      <w:r>
        <w:rPr/>
        <w:t>Considerando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tanto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nona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Acordo</w:t>
      </w:r>
      <w:r>
        <w:rPr>
          <w:spacing w:val="1"/>
        </w:rPr>
        <w:t> </w:t>
      </w:r>
      <w:r>
        <w:rPr/>
        <w:t>Coletivo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</w:t>
      </w:r>
      <w:r>
        <w:rPr>
          <w:spacing w:val="-64"/>
        </w:rPr>
        <w:t> </w:t>
      </w:r>
      <w:r>
        <w:rPr/>
        <w:t>celebrado em 06/11/2020 com o Sindicato dos Servidores das Autarquias de</w:t>
      </w:r>
      <w:r>
        <w:rPr>
          <w:spacing w:val="1"/>
        </w:rPr>
        <w:t> </w:t>
      </w:r>
      <w:r>
        <w:rPr/>
        <w:t>Fiscalização Profissional e Entidades Coligadas no Estado do Rio de Janeiro –</w:t>
      </w:r>
      <w:r>
        <w:rPr>
          <w:spacing w:val="1"/>
        </w:rPr>
        <w:t> </w:t>
      </w:r>
      <w:r>
        <w:rPr/>
        <w:t>SINSAFISPRO/RJ,</w:t>
      </w:r>
      <w:r>
        <w:rPr>
          <w:spacing w:val="-4"/>
        </w:rPr>
        <w:t> </w:t>
      </w:r>
      <w:r>
        <w:rPr/>
        <w:t>bem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artigo</w:t>
      </w:r>
      <w:r>
        <w:rPr>
          <w:spacing w:val="-4"/>
        </w:rPr>
        <w:t> </w:t>
      </w:r>
      <w:r>
        <w:rPr/>
        <w:t>4º,</w:t>
      </w:r>
      <w:r>
        <w:rPr>
          <w:spacing w:val="-4"/>
        </w:rPr>
        <w:t> </w:t>
      </w:r>
      <w:r>
        <w:rPr/>
        <w:t>parágrafo</w:t>
      </w:r>
      <w:r>
        <w:rPr>
          <w:spacing w:val="-4"/>
        </w:rPr>
        <w:t> </w:t>
      </w:r>
      <w:r>
        <w:rPr/>
        <w:t>4º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Portaria</w:t>
      </w:r>
      <w:r>
        <w:rPr>
          <w:spacing w:val="-6"/>
        </w:rPr>
        <w:t> </w:t>
      </w:r>
      <w:r>
        <w:rPr/>
        <w:t>Normativa</w:t>
      </w:r>
      <w:r>
        <w:rPr>
          <w:spacing w:val="-4"/>
        </w:rPr>
        <w:t> </w:t>
      </w:r>
      <w:r>
        <w:rPr/>
        <w:t>nº</w:t>
      </w:r>
      <w:r>
        <w:rPr>
          <w:spacing w:val="-65"/>
        </w:rPr>
        <w:t> </w:t>
      </w:r>
      <w:r>
        <w:rPr/>
        <w:t>001/2017 – PRES-CAU/RJ estabelecem que o Conselho reajustará anualmente</w:t>
      </w:r>
      <w:r>
        <w:rPr>
          <w:spacing w:val="-64"/>
        </w:rPr>
        <w:t> </w:t>
      </w:r>
      <w:r>
        <w:rPr>
          <w:spacing w:val="-1"/>
        </w:rPr>
        <w:t>os</w:t>
      </w:r>
      <w:r>
        <w:rPr>
          <w:spacing w:val="-17"/>
        </w:rPr>
        <w:t> </w:t>
      </w:r>
      <w:r>
        <w:rPr>
          <w:spacing w:val="-1"/>
        </w:rPr>
        <w:t>valores</w:t>
      </w:r>
      <w:r>
        <w:rPr>
          <w:spacing w:val="-17"/>
        </w:rPr>
        <w:t> </w:t>
      </w:r>
      <w:r>
        <w:rPr>
          <w:spacing w:val="-1"/>
        </w:rPr>
        <w:t>constantes</w:t>
      </w:r>
      <w:r>
        <w:rPr>
          <w:spacing w:val="-18"/>
        </w:rPr>
        <w:t> </w:t>
      </w:r>
      <w:r>
        <w:rPr>
          <w:spacing w:val="-1"/>
        </w:rPr>
        <w:t>da</w:t>
      </w:r>
      <w:r>
        <w:rPr>
          <w:spacing w:val="-16"/>
        </w:rPr>
        <w:t> </w:t>
      </w:r>
      <w:r>
        <w:rPr>
          <w:spacing w:val="-1"/>
        </w:rPr>
        <w:t>tabela</w:t>
      </w:r>
      <w:r>
        <w:rPr>
          <w:spacing w:val="-19"/>
        </w:rPr>
        <w:t> </w:t>
      </w:r>
      <w:r>
        <w:rPr/>
        <w:t>de</w:t>
      </w:r>
      <w:r>
        <w:rPr>
          <w:spacing w:val="-15"/>
        </w:rPr>
        <w:t> </w:t>
      </w:r>
      <w:r>
        <w:rPr/>
        <w:t>reembolso</w:t>
      </w:r>
      <w:r>
        <w:rPr>
          <w:spacing w:val="-16"/>
        </w:rPr>
        <w:t> </w:t>
      </w:r>
      <w:r>
        <w:rPr/>
        <w:t>de</w:t>
      </w:r>
      <w:r>
        <w:rPr>
          <w:spacing w:val="-18"/>
        </w:rPr>
        <w:t> </w:t>
      </w:r>
      <w:r>
        <w:rPr/>
        <w:t>modo</w:t>
      </w:r>
      <w:r>
        <w:rPr>
          <w:spacing w:val="-15"/>
        </w:rPr>
        <w:t> </w:t>
      </w:r>
      <w:r>
        <w:rPr/>
        <w:t>que</w:t>
      </w:r>
      <w:r>
        <w:rPr>
          <w:spacing w:val="-16"/>
        </w:rPr>
        <w:t> </w:t>
      </w:r>
      <w:r>
        <w:rPr/>
        <w:t>os</w:t>
      </w:r>
      <w:r>
        <w:rPr>
          <w:spacing w:val="-17"/>
        </w:rPr>
        <w:t> </w:t>
      </w:r>
      <w:r>
        <w:rPr/>
        <w:t>valores</w:t>
      </w:r>
      <w:r>
        <w:rPr>
          <w:spacing w:val="-16"/>
        </w:rPr>
        <w:t> </w:t>
      </w:r>
      <w:r>
        <w:rPr/>
        <w:t>praticados</w:t>
      </w:r>
      <w:r>
        <w:rPr>
          <w:spacing w:val="-65"/>
        </w:rPr>
        <w:t> </w:t>
      </w:r>
      <w:r>
        <w:rPr/>
        <w:t>incorporem a média ponderada dos aumentos no preço dos planos de saúde</w:t>
      </w:r>
      <w:r>
        <w:rPr>
          <w:spacing w:val="1"/>
        </w:rPr>
        <w:t> </w:t>
      </w:r>
      <w:r>
        <w:rPr/>
        <w:t>coletivos</w:t>
      </w:r>
      <w:r>
        <w:rPr>
          <w:spacing w:val="-1"/>
        </w:rPr>
        <w:t> </w:t>
      </w:r>
      <w:r>
        <w:rPr/>
        <w:t>ofertados</w:t>
      </w:r>
      <w:r>
        <w:rPr>
          <w:spacing w:val="-3"/>
        </w:rPr>
        <w:t> </w:t>
      </w:r>
      <w:r>
        <w:rPr/>
        <w:t>pelas empresas</w:t>
      </w:r>
      <w:r>
        <w:rPr>
          <w:spacing w:val="-4"/>
        </w:rPr>
        <w:t> </w:t>
      </w:r>
      <w:r>
        <w:rPr/>
        <w:t>contratadas pelos</w:t>
      </w:r>
      <w:r>
        <w:rPr>
          <w:spacing w:val="5"/>
        </w:rPr>
        <w:t> </w:t>
      </w:r>
      <w:r>
        <w:rPr/>
        <w:t>servidores.</w:t>
      </w:r>
    </w:p>
    <w:p>
      <w:pPr>
        <w:pStyle w:val="BodyText"/>
        <w:spacing w:before="1"/>
      </w:pPr>
    </w:p>
    <w:p>
      <w:pPr>
        <w:pStyle w:val="Heading2"/>
      </w:pPr>
      <w:r>
        <w:rPr/>
        <w:t>RESOLVE</w:t>
      </w:r>
    </w:p>
    <w:p>
      <w:pPr>
        <w:pStyle w:val="BodyText"/>
        <w:spacing w:before="182"/>
        <w:ind w:left="102" w:right="113"/>
        <w:jc w:val="both"/>
      </w:pPr>
      <w:r>
        <w:rPr/>
        <w:t>Art. 1º. Alterar o artigo 4º, parágrafo 4º da Portaria Normativa nº 001/2017 –</w:t>
      </w:r>
      <w:r>
        <w:rPr>
          <w:spacing w:val="1"/>
        </w:rPr>
        <w:t> </w:t>
      </w:r>
      <w:r>
        <w:rPr/>
        <w:t>PRES-CAU/RJ, para fixar o reajuste anual dos valores constantes da tabela de</w:t>
      </w:r>
      <w:r>
        <w:rPr>
          <w:spacing w:val="1"/>
        </w:rPr>
        <w:t> </w:t>
      </w:r>
      <w:r>
        <w:rPr/>
        <w:t>reembolso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mês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junho.</w:t>
      </w:r>
    </w:p>
    <w:p>
      <w:pPr>
        <w:pStyle w:val="BodyText"/>
      </w:pPr>
    </w:p>
    <w:p>
      <w:pPr>
        <w:pStyle w:val="BodyText"/>
        <w:ind w:left="102" w:right="119"/>
        <w:jc w:val="both"/>
      </w:pPr>
      <w:r>
        <w:rPr/>
        <w:t>Art. 2º. A tabela abaixo se refere aos valores reajustados em julho de 2021 e</w:t>
      </w:r>
      <w:r>
        <w:rPr>
          <w:spacing w:val="1"/>
        </w:rPr>
        <w:t> </w:t>
      </w:r>
      <w:r>
        <w:rPr/>
        <w:t>segue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percentual de</w:t>
      </w:r>
      <w:r>
        <w:rPr>
          <w:spacing w:val="-3"/>
        </w:rPr>
        <w:t> </w:t>
      </w:r>
      <w:r>
        <w:rPr/>
        <w:t>reajuste</w:t>
      </w:r>
      <w:r>
        <w:rPr>
          <w:spacing w:val="-2"/>
        </w:rPr>
        <w:t> </w:t>
      </w:r>
      <w:r>
        <w:rPr/>
        <w:t>adotado</w:t>
      </w:r>
      <w:r>
        <w:rPr>
          <w:spacing w:val="-2"/>
        </w:rPr>
        <w:t> </w:t>
      </w:r>
      <w:r>
        <w:rPr/>
        <w:t>pelos</w:t>
      </w:r>
      <w:r>
        <w:rPr>
          <w:spacing w:val="-2"/>
        </w:rPr>
        <w:t> </w:t>
      </w:r>
      <w:r>
        <w:rPr/>
        <w:t>planos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saúde:</w:t>
      </w:r>
    </w:p>
    <w:p>
      <w:pPr>
        <w:pStyle w:val="BodyText"/>
        <w:spacing w:before="3"/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97"/>
        <w:gridCol w:w="1698"/>
        <w:gridCol w:w="1700"/>
        <w:gridCol w:w="1697"/>
        <w:gridCol w:w="1700"/>
      </w:tblGrid>
      <w:tr>
        <w:trPr>
          <w:trHeight w:val="551" w:hRule="atLeast"/>
        </w:trPr>
        <w:tc>
          <w:tcPr>
            <w:tcW w:w="1697" w:type="dxa"/>
          </w:tcPr>
          <w:p>
            <w:pPr>
              <w:pStyle w:val="TableParagraph"/>
              <w:spacing w:line="274" w:lineRule="exact"/>
              <w:ind w:left="160" w:right="155"/>
              <w:rPr>
                <w:sz w:val="24"/>
              </w:rPr>
            </w:pPr>
            <w:r>
              <w:rPr>
                <w:sz w:val="24"/>
              </w:rPr>
              <w:t>Faixa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Etária</w:t>
            </w:r>
          </w:p>
        </w:tc>
        <w:tc>
          <w:tcPr>
            <w:tcW w:w="1698" w:type="dxa"/>
          </w:tcPr>
          <w:p>
            <w:pPr>
              <w:pStyle w:val="TableParagraph"/>
              <w:spacing w:line="276" w:lineRule="exact"/>
              <w:ind w:left="412" w:right="388" w:firstLine="122"/>
              <w:jc w:val="left"/>
              <w:rPr>
                <w:sz w:val="24"/>
              </w:rPr>
            </w:pPr>
            <w:r>
              <w:rPr>
                <w:sz w:val="24"/>
              </w:rPr>
              <w:t>PN nº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08/2020</w:t>
            </w:r>
          </w:p>
        </w:tc>
        <w:tc>
          <w:tcPr>
            <w:tcW w:w="1700" w:type="dxa"/>
          </w:tcPr>
          <w:p>
            <w:pPr>
              <w:pStyle w:val="TableParagraph"/>
              <w:spacing w:line="276" w:lineRule="exact"/>
              <w:ind w:left="440" w:right="350" w:hanging="68"/>
              <w:jc w:val="left"/>
              <w:rPr>
                <w:sz w:val="24"/>
              </w:rPr>
            </w:pPr>
            <w:r>
              <w:rPr>
                <w:sz w:val="24"/>
              </w:rPr>
              <w:t>Reajuste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10,65%</w:t>
            </w:r>
          </w:p>
        </w:tc>
        <w:tc>
          <w:tcPr>
            <w:tcW w:w="1697" w:type="dxa"/>
          </w:tcPr>
          <w:p>
            <w:pPr>
              <w:pStyle w:val="TableParagraph"/>
              <w:spacing w:line="274" w:lineRule="exact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Titular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90%</w:t>
            </w:r>
          </w:p>
        </w:tc>
        <w:tc>
          <w:tcPr>
            <w:tcW w:w="1700" w:type="dxa"/>
          </w:tcPr>
          <w:p>
            <w:pPr>
              <w:pStyle w:val="TableParagraph"/>
              <w:spacing w:line="276" w:lineRule="exact"/>
              <w:ind w:left="608" w:right="110" w:hanging="476"/>
              <w:jc w:val="left"/>
              <w:rPr>
                <w:sz w:val="24"/>
              </w:rPr>
            </w:pPr>
            <w:r>
              <w:rPr>
                <w:sz w:val="24"/>
              </w:rPr>
              <w:t>Dependentes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50%</w:t>
            </w:r>
          </w:p>
        </w:tc>
      </w:tr>
      <w:tr>
        <w:trPr>
          <w:trHeight w:val="275" w:hRule="atLeast"/>
        </w:trPr>
        <w:tc>
          <w:tcPr>
            <w:tcW w:w="1697" w:type="dxa"/>
          </w:tcPr>
          <w:p>
            <w:pPr>
              <w:pStyle w:val="TableParagraph"/>
              <w:spacing w:line="255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00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18</w:t>
            </w:r>
          </w:p>
        </w:tc>
        <w:tc>
          <w:tcPr>
            <w:tcW w:w="1698" w:type="dxa"/>
          </w:tcPr>
          <w:p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453,97</w:t>
            </w:r>
          </w:p>
        </w:tc>
        <w:tc>
          <w:tcPr>
            <w:tcW w:w="1700" w:type="dxa"/>
          </w:tcPr>
          <w:p>
            <w:pPr>
              <w:pStyle w:val="TableParagraph"/>
              <w:spacing w:line="255" w:lineRule="exact"/>
              <w:ind w:right="16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502,32</w:t>
            </w:r>
          </w:p>
        </w:tc>
        <w:tc>
          <w:tcPr>
            <w:tcW w:w="1697" w:type="dxa"/>
          </w:tcPr>
          <w:p>
            <w:pPr>
              <w:pStyle w:val="TableParagraph"/>
              <w:spacing w:line="255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452,09</w:t>
            </w:r>
          </w:p>
        </w:tc>
        <w:tc>
          <w:tcPr>
            <w:tcW w:w="1700" w:type="dxa"/>
          </w:tcPr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251,16</w:t>
            </w:r>
          </w:p>
        </w:tc>
      </w:tr>
      <w:tr>
        <w:trPr>
          <w:trHeight w:val="275" w:hRule="atLeast"/>
        </w:trPr>
        <w:tc>
          <w:tcPr>
            <w:tcW w:w="1697" w:type="dxa"/>
          </w:tcPr>
          <w:p>
            <w:pPr>
              <w:pStyle w:val="TableParagraph"/>
              <w:ind w:left="162" w:right="155"/>
              <w:rPr>
                <w:sz w:val="24"/>
              </w:rPr>
            </w:pPr>
            <w:r>
              <w:rPr>
                <w:sz w:val="24"/>
              </w:rPr>
              <w:t>19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</w:t>
            </w:r>
          </w:p>
        </w:tc>
        <w:tc>
          <w:tcPr>
            <w:tcW w:w="1698" w:type="dxa"/>
          </w:tcPr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563,31</w:t>
            </w:r>
          </w:p>
        </w:tc>
        <w:tc>
          <w:tcPr>
            <w:tcW w:w="1700" w:type="dxa"/>
          </w:tcPr>
          <w:p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623,30</w:t>
            </w:r>
          </w:p>
        </w:tc>
        <w:tc>
          <w:tcPr>
            <w:tcW w:w="1697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560,97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311,65</w:t>
            </w:r>
          </w:p>
        </w:tc>
      </w:tr>
      <w:tr>
        <w:trPr>
          <w:trHeight w:val="275" w:hRule="atLeast"/>
        </w:trPr>
        <w:tc>
          <w:tcPr>
            <w:tcW w:w="1697" w:type="dxa"/>
          </w:tcPr>
          <w:p>
            <w:pPr>
              <w:pStyle w:val="TableParagraph"/>
              <w:ind w:left="162" w:right="155"/>
              <w:rPr>
                <w:sz w:val="24"/>
              </w:rPr>
            </w:pPr>
            <w:r>
              <w:rPr>
                <w:sz w:val="24"/>
              </w:rPr>
              <w:t>24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28</w:t>
            </w:r>
          </w:p>
        </w:tc>
        <w:tc>
          <w:tcPr>
            <w:tcW w:w="1698" w:type="dxa"/>
          </w:tcPr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700,48</w:t>
            </w:r>
          </w:p>
        </w:tc>
        <w:tc>
          <w:tcPr>
            <w:tcW w:w="1700" w:type="dxa"/>
          </w:tcPr>
          <w:p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775,08</w:t>
            </w:r>
          </w:p>
        </w:tc>
        <w:tc>
          <w:tcPr>
            <w:tcW w:w="1697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697,57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387,54</w:t>
            </w:r>
          </w:p>
        </w:tc>
      </w:tr>
      <w:tr>
        <w:trPr>
          <w:trHeight w:val="278" w:hRule="atLeast"/>
        </w:trPr>
        <w:tc>
          <w:tcPr>
            <w:tcW w:w="1697" w:type="dxa"/>
          </w:tcPr>
          <w:p>
            <w:pPr>
              <w:pStyle w:val="TableParagraph"/>
              <w:spacing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29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33</w:t>
            </w:r>
          </w:p>
        </w:tc>
        <w:tc>
          <w:tcPr>
            <w:tcW w:w="1698" w:type="dxa"/>
          </w:tcPr>
          <w:p>
            <w:pPr>
              <w:pStyle w:val="TableParagraph"/>
              <w:spacing w:line="258" w:lineRule="exact"/>
              <w:ind w:left="17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772,83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right="16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855,14</w:t>
            </w:r>
          </w:p>
        </w:tc>
        <w:tc>
          <w:tcPr>
            <w:tcW w:w="1697" w:type="dxa"/>
          </w:tcPr>
          <w:p>
            <w:pPr>
              <w:pStyle w:val="TableParagraph"/>
              <w:spacing w:line="258" w:lineRule="exact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769,62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427,57</w:t>
            </w:r>
          </w:p>
        </w:tc>
      </w:tr>
      <w:tr>
        <w:trPr>
          <w:trHeight w:val="275" w:hRule="atLeast"/>
        </w:trPr>
        <w:tc>
          <w:tcPr>
            <w:tcW w:w="1697" w:type="dxa"/>
          </w:tcPr>
          <w:p>
            <w:pPr>
              <w:pStyle w:val="TableParagraph"/>
              <w:ind w:left="162" w:right="155"/>
              <w:rPr>
                <w:sz w:val="24"/>
              </w:rPr>
            </w:pPr>
            <w:r>
              <w:rPr>
                <w:sz w:val="24"/>
              </w:rPr>
              <w:t>34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38</w:t>
            </w:r>
          </w:p>
        </w:tc>
        <w:tc>
          <w:tcPr>
            <w:tcW w:w="1698" w:type="dxa"/>
          </w:tcPr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819,07</w:t>
            </w:r>
          </w:p>
        </w:tc>
        <w:tc>
          <w:tcPr>
            <w:tcW w:w="1700" w:type="dxa"/>
          </w:tcPr>
          <w:p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906,30</w:t>
            </w:r>
          </w:p>
        </w:tc>
        <w:tc>
          <w:tcPr>
            <w:tcW w:w="1697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815,67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453,15</w:t>
            </w:r>
          </w:p>
        </w:tc>
      </w:tr>
      <w:tr>
        <w:trPr>
          <w:trHeight w:val="275" w:hRule="atLeast"/>
        </w:trPr>
        <w:tc>
          <w:tcPr>
            <w:tcW w:w="1697" w:type="dxa"/>
          </w:tcPr>
          <w:p>
            <w:pPr>
              <w:pStyle w:val="TableParagraph"/>
              <w:ind w:left="162" w:right="155"/>
              <w:rPr>
                <w:sz w:val="24"/>
              </w:rPr>
            </w:pPr>
            <w:r>
              <w:rPr>
                <w:sz w:val="24"/>
              </w:rPr>
              <w:t>39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43</w:t>
            </w:r>
          </w:p>
        </w:tc>
        <w:tc>
          <w:tcPr>
            <w:tcW w:w="1698" w:type="dxa"/>
          </w:tcPr>
          <w:p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933,15</w:t>
            </w:r>
          </w:p>
        </w:tc>
        <w:tc>
          <w:tcPr>
            <w:tcW w:w="1700" w:type="dxa"/>
          </w:tcPr>
          <w:p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1.032,53</w:t>
            </w:r>
          </w:p>
        </w:tc>
        <w:tc>
          <w:tcPr>
            <w:tcW w:w="1697" w:type="dxa"/>
          </w:tcPr>
          <w:p>
            <w:pPr>
              <w:pStyle w:val="TableParagraph"/>
              <w:ind w:left="0" w:right="2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929,28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516,27</w:t>
            </w:r>
          </w:p>
        </w:tc>
      </w:tr>
      <w:tr>
        <w:trPr>
          <w:trHeight w:val="275" w:hRule="atLeast"/>
        </w:trPr>
        <w:tc>
          <w:tcPr>
            <w:tcW w:w="1697" w:type="dxa"/>
          </w:tcPr>
          <w:p>
            <w:pPr>
              <w:pStyle w:val="TableParagraph"/>
              <w:ind w:left="162" w:right="155"/>
              <w:rPr>
                <w:sz w:val="24"/>
              </w:rPr>
            </w:pPr>
            <w:r>
              <w:rPr>
                <w:sz w:val="24"/>
              </w:rPr>
              <w:t>44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48</w:t>
            </w:r>
          </w:p>
        </w:tc>
        <w:tc>
          <w:tcPr>
            <w:tcW w:w="1698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1.132,49</w:t>
            </w:r>
          </w:p>
        </w:tc>
        <w:tc>
          <w:tcPr>
            <w:tcW w:w="1700" w:type="dxa"/>
          </w:tcPr>
          <w:p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1.253,10</w:t>
            </w:r>
          </w:p>
        </w:tc>
        <w:tc>
          <w:tcPr>
            <w:tcW w:w="1697" w:type="dxa"/>
          </w:tcPr>
          <w:p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1.127,79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626,55</w:t>
            </w:r>
          </w:p>
        </w:tc>
      </w:tr>
      <w:tr>
        <w:trPr>
          <w:trHeight w:val="275" w:hRule="atLeast"/>
        </w:trPr>
        <w:tc>
          <w:tcPr>
            <w:tcW w:w="1697" w:type="dxa"/>
          </w:tcPr>
          <w:p>
            <w:pPr>
              <w:pStyle w:val="TableParagraph"/>
              <w:ind w:left="162" w:right="155"/>
              <w:rPr>
                <w:sz w:val="24"/>
              </w:rPr>
            </w:pPr>
            <w:r>
              <w:rPr>
                <w:sz w:val="24"/>
              </w:rPr>
              <w:t>49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53</w:t>
            </w:r>
          </w:p>
        </w:tc>
        <w:tc>
          <w:tcPr>
            <w:tcW w:w="1698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1.295,90</w:t>
            </w:r>
          </w:p>
        </w:tc>
        <w:tc>
          <w:tcPr>
            <w:tcW w:w="1700" w:type="dxa"/>
          </w:tcPr>
          <w:p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1.433,91</w:t>
            </w:r>
          </w:p>
        </w:tc>
        <w:tc>
          <w:tcPr>
            <w:tcW w:w="1697" w:type="dxa"/>
          </w:tcPr>
          <w:p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1.290,52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716,96</w:t>
            </w:r>
          </w:p>
        </w:tc>
      </w:tr>
      <w:tr>
        <w:trPr>
          <w:trHeight w:val="275" w:hRule="atLeast"/>
        </w:trPr>
        <w:tc>
          <w:tcPr>
            <w:tcW w:w="1697" w:type="dxa"/>
          </w:tcPr>
          <w:p>
            <w:pPr>
              <w:pStyle w:val="TableParagraph"/>
              <w:ind w:left="162" w:right="155"/>
              <w:rPr>
                <w:sz w:val="24"/>
              </w:rPr>
            </w:pPr>
            <w:r>
              <w:rPr>
                <w:sz w:val="24"/>
              </w:rPr>
              <w:t>54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58</w:t>
            </w:r>
          </w:p>
        </w:tc>
        <w:tc>
          <w:tcPr>
            <w:tcW w:w="1698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1.568,01</w:t>
            </w:r>
          </w:p>
        </w:tc>
        <w:tc>
          <w:tcPr>
            <w:tcW w:w="1700" w:type="dxa"/>
          </w:tcPr>
          <w:p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1.735,00</w:t>
            </w:r>
          </w:p>
        </w:tc>
        <w:tc>
          <w:tcPr>
            <w:tcW w:w="1697" w:type="dxa"/>
          </w:tcPr>
          <w:p>
            <w:pPr>
              <w:pStyle w:val="TableParagraph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1.561,50</w:t>
            </w:r>
          </w:p>
        </w:tc>
        <w:tc>
          <w:tcPr>
            <w:tcW w:w="17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867,50</w:t>
            </w:r>
          </w:p>
        </w:tc>
      </w:tr>
      <w:tr>
        <w:trPr>
          <w:trHeight w:val="278" w:hRule="atLeast"/>
        </w:trPr>
        <w:tc>
          <w:tcPr>
            <w:tcW w:w="1697" w:type="dxa"/>
          </w:tcPr>
          <w:p>
            <w:pPr>
              <w:pStyle w:val="TableParagraph"/>
              <w:spacing w:line="258" w:lineRule="exact"/>
              <w:ind w:left="162" w:right="155"/>
              <w:rPr>
                <w:sz w:val="24"/>
              </w:rPr>
            </w:pPr>
            <w:r>
              <w:rPr>
                <w:sz w:val="24"/>
              </w:rPr>
              <w:t>Acima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58</w:t>
            </w:r>
          </w:p>
        </w:tc>
        <w:tc>
          <w:tcPr>
            <w:tcW w:w="1698" w:type="dxa"/>
          </w:tcPr>
          <w:p>
            <w:pPr>
              <w:pStyle w:val="TableParagraph"/>
              <w:spacing w:line="258" w:lineRule="exact"/>
              <w:ind w:left="17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2.719,31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right="169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3.008,92</w:t>
            </w:r>
          </w:p>
        </w:tc>
        <w:tc>
          <w:tcPr>
            <w:tcW w:w="1697" w:type="dxa"/>
          </w:tcPr>
          <w:p>
            <w:pPr>
              <w:pStyle w:val="TableParagraph"/>
              <w:spacing w:line="258" w:lineRule="exact"/>
              <w:ind w:left="0" w:right="183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2.708,02</w:t>
            </w:r>
          </w:p>
        </w:tc>
        <w:tc>
          <w:tcPr>
            <w:tcW w:w="1700" w:type="dxa"/>
          </w:tcPr>
          <w:p>
            <w:pPr>
              <w:pStyle w:val="TableParagraph"/>
              <w:spacing w:line="258" w:lineRule="exact"/>
              <w:ind w:right="170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1.504,46</w:t>
            </w:r>
          </w:p>
        </w:tc>
      </w:tr>
    </w:tbl>
    <w:p>
      <w:pPr>
        <w:spacing w:after="0" w:line="258" w:lineRule="exact"/>
        <w:rPr>
          <w:sz w:val="24"/>
        </w:rPr>
        <w:sectPr>
          <w:headerReference w:type="default" r:id="rId5"/>
          <w:type w:val="continuous"/>
          <w:pgSz w:w="11910" w:h="16840"/>
          <w:pgMar w:header="965" w:top="1840" w:bottom="280" w:left="1600" w:right="1580"/>
          <w:pgNumType w:start="1"/>
        </w:sect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480" w:lineRule="auto" w:before="92"/>
        <w:ind w:left="102" w:right="1268"/>
      </w:pPr>
      <w:r>
        <w:rPr/>
        <w:t>Art.</w:t>
      </w:r>
      <w:r>
        <w:rPr>
          <w:spacing w:val="-2"/>
        </w:rPr>
        <w:t> </w:t>
      </w:r>
      <w:r>
        <w:rPr/>
        <w:t>3º.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Portaria</w:t>
      </w:r>
      <w:r>
        <w:rPr>
          <w:spacing w:val="-1"/>
        </w:rPr>
        <w:t> </w:t>
      </w:r>
      <w:r>
        <w:rPr/>
        <w:t>entra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vigor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sua</w:t>
      </w:r>
      <w:r>
        <w:rPr>
          <w:spacing w:val="-2"/>
        </w:rPr>
        <w:t> </w:t>
      </w:r>
      <w:r>
        <w:rPr/>
        <w:t>assinatura.</w:t>
      </w:r>
      <w:r>
        <w:rPr>
          <w:spacing w:val="-63"/>
        </w:rPr>
        <w:t> </w:t>
      </w:r>
      <w:r>
        <w:rPr/>
        <w:t>Dê-se ciência</w:t>
      </w:r>
      <w:r>
        <w:rPr>
          <w:spacing w:val="-2"/>
        </w:rPr>
        <w:t> </w:t>
      </w:r>
      <w:r>
        <w:rPr/>
        <w:t>e cumpra-se.</w:t>
      </w:r>
    </w:p>
    <w:p>
      <w:pPr>
        <w:pStyle w:val="BodyText"/>
        <w:spacing w:before="180"/>
        <w:ind w:left="102"/>
      </w:pPr>
      <w:r>
        <w:rPr/>
        <w:t>Rio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Janeiro,</w:t>
      </w:r>
      <w:r>
        <w:rPr>
          <w:spacing w:val="-1"/>
        </w:rPr>
        <w:t> </w:t>
      </w:r>
      <w:r>
        <w:rPr/>
        <w:t>16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 de</w:t>
      </w:r>
      <w:r>
        <w:rPr>
          <w:spacing w:val="-2"/>
        </w:rPr>
        <w:t> </w:t>
      </w:r>
      <w:r>
        <w:rPr/>
        <w:t>2021.</w:t>
      </w:r>
    </w:p>
    <w:p>
      <w:pPr>
        <w:spacing w:after="0"/>
        <w:sectPr>
          <w:pgSz w:w="11910" w:h="16840"/>
          <w:pgMar w:header="965" w:footer="0" w:top="1840" w:bottom="280" w:left="1600" w:right="1580"/>
        </w:sectPr>
      </w:pPr>
    </w:p>
    <w:p>
      <w:pPr>
        <w:pStyle w:val="Heading1"/>
        <w:spacing w:line="252" w:lineRule="auto" w:before="108"/>
        <w:ind w:left="395" w:right="24"/>
      </w:pPr>
      <w:r>
        <w:rPr/>
        <w:pict>
          <v:shape style="position:absolute;margin-left:142.370819pt;margin-top:4.991333pt;width:97.55pt;height:96.85pt;mso-position-horizontal-relative:page;mso-position-vertical-relative:paragraph;z-index:-15847936" coordorigin="2847,100" coordsize="1951,1937" path="m3199,1627l3094,1690,3010,1753,2946,1814,2900,1872,2870,1924,2853,1969,2847,2004,2860,2029,2871,2036,3004,2036,3004,2036,3010,2032,2885,2032,2889,1995,2909,1947,2944,1889,2992,1825,3051,1759,3121,1691,3199,1627xm3682,100l3642,126,3622,186,3615,254,3614,302,3615,346,3619,393,3626,443,3634,495,3644,547,3655,601,3667,655,3682,710,3678,732,3668,769,3652,817,3631,876,3604,944,3573,1019,3537,1101,3498,1187,3456,1276,3412,1366,3365,1457,3316,1546,3266,1632,3216,1714,3165,1789,3115,1857,3066,1916,3017,1965,2971,2001,2927,2024,2885,2032,3010,2032,3046,2007,3093,1966,3143,1912,3198,1843,3257,1760,3321,1662,3390,1548,3408,1542,3390,1542,3452,1430,3506,1330,3553,1240,3592,1158,3624,1086,3651,1020,3673,962,3691,909,3705,862,3717,819,3786,819,3772,785,3743,704,3755,627,3757,602,3717,602,3694,515,3679,431,3670,352,3668,281,3668,251,3673,200,3685,147,3709,112,3758,112,3732,102,3682,100xm4748,1538l4730,1541,4714,1551,4704,1566,4700,1585,4704,1603,4714,1618,4730,1627,4748,1631,4768,1627,4779,1621,4748,1621,4734,1618,4722,1611,4713,1599,4710,1585,4713,1570,4722,1558,4734,1550,4748,1548,4778,1548,4768,1541,4748,1538xm4778,1548l4748,1548,4764,1550,4776,1558,4783,1570,4786,1585,4783,1599,4776,1611,4764,1618,4748,1621,4779,1621,4784,1618,4794,1603,4798,1585,4794,1566,4784,1551,4778,1548xm4762,1554l4730,1554,4730,1611,4740,1611,4740,1589,4765,1589,4764,1587,4758,1585,4770,1581,4740,1581,4740,1565,4768,1565,4768,1561,4762,1554xm4765,1589l4752,1589,4756,1595,4758,1601,4760,1611,4770,1611,4768,1601,4768,1593,4765,1589xm4768,1565l4754,1565,4758,1567,4758,1579,4752,1581,4770,1581,4770,1573,4768,1565xm3786,819l3717,819,3764,924,3812,1014,3862,1090,3911,1153,3960,1205,4006,1248,4050,1281,4090,1308,4124,1329,4054,1342,3982,1357,3909,1373,3835,1391,3760,1412,3685,1434,3610,1458,3535,1484,3462,1512,3390,1542,3408,1542,3461,1524,3537,1501,3615,1480,3696,1461,3779,1443,3863,1427,3947,1412,4032,1399,4115,1388,4198,1379,4346,1379,4315,1365,4386,1361,4472,1358,4757,1358,4737,1344,4668,1320,4635,1315,4228,1315,4182,1289,4136,1261,4092,1231,4049,1200,3991,1146,3937,1084,3889,1015,3845,942,3806,865,3786,819xm4346,1379l4198,1379,4284,1420,4372,1454,4457,1482,4538,1503,4611,1515,4674,1520,4715,1517,4746,1509,4767,1495,4770,1488,4716,1488,4655,1482,4581,1466,4497,1440,4408,1406,4346,1379xm4778,1474l4766,1479,4751,1483,4735,1487,4716,1488,4770,1488,4778,1474xm4757,1358l4472,1358,4562,1360,4648,1368,4720,1385,4769,1412,4786,1452,4792,1438,4798,1432,4798,1418,4782,1377,4757,1358xm4466,1301l4413,1303,4355,1306,4228,1315,4635,1315,4576,1306,4466,1301xm3777,263l3766,321,3754,397,3738,490,3717,602,3757,602,3763,553,3768,480,3772,408,3777,263xm3758,112l3709,112,3731,125,3751,147,3768,180,3777,227,3784,153,3768,116,3758,112xe" filled="true" fillcolor="#ffd8d8" stroked="false">
            <v:path arrowok="t"/>
            <v:fill type="solid"/>
            <w10:wrap type="none"/>
          </v:shape>
        </w:pict>
      </w:r>
      <w:r>
        <w:rPr/>
        <w:t>PABLO</w:t>
      </w:r>
      <w:r>
        <w:rPr>
          <w:spacing w:val="-112"/>
        </w:rPr>
        <w:t> </w:t>
      </w:r>
      <w:r>
        <w:rPr/>
        <w:t>CESAR</w:t>
      </w:r>
    </w:p>
    <w:p>
      <w:pPr>
        <w:spacing w:line="270" w:lineRule="atLeast" w:before="58"/>
        <w:ind w:left="395" w:right="4149" w:firstLine="0"/>
        <w:jc w:val="left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spacing w:val="-1"/>
          <w:w w:val="95"/>
          <w:sz w:val="23"/>
        </w:rPr>
        <w:t>Assinado</w:t>
      </w:r>
      <w:r>
        <w:rPr>
          <w:rFonts w:ascii="Trebuchet MS"/>
          <w:spacing w:val="-16"/>
          <w:w w:val="95"/>
          <w:sz w:val="23"/>
        </w:rPr>
        <w:t> </w:t>
      </w:r>
      <w:r>
        <w:rPr>
          <w:rFonts w:ascii="Trebuchet MS"/>
          <w:w w:val="95"/>
          <w:sz w:val="23"/>
        </w:rPr>
        <w:t>de</w:t>
      </w:r>
      <w:r>
        <w:rPr>
          <w:rFonts w:ascii="Trebuchet MS"/>
          <w:spacing w:val="-15"/>
          <w:w w:val="95"/>
          <w:sz w:val="23"/>
        </w:rPr>
        <w:t> </w:t>
      </w:r>
      <w:r>
        <w:rPr>
          <w:rFonts w:ascii="Trebuchet MS"/>
          <w:w w:val="95"/>
          <w:sz w:val="23"/>
        </w:rPr>
        <w:t>forma</w:t>
      </w:r>
      <w:r>
        <w:rPr>
          <w:rFonts w:ascii="Trebuchet MS"/>
          <w:spacing w:val="-62"/>
          <w:w w:val="95"/>
          <w:sz w:val="23"/>
        </w:rPr>
        <w:t> </w:t>
      </w:r>
      <w:r>
        <w:rPr>
          <w:rFonts w:ascii="Trebuchet MS"/>
          <w:w w:val="95"/>
          <w:sz w:val="23"/>
        </w:rPr>
        <w:t>digital por PABLO</w:t>
      </w:r>
      <w:r>
        <w:rPr>
          <w:rFonts w:ascii="Trebuchet MS"/>
          <w:spacing w:val="1"/>
          <w:w w:val="95"/>
          <w:sz w:val="23"/>
        </w:rPr>
        <w:t> </w:t>
      </w:r>
      <w:r>
        <w:rPr>
          <w:rFonts w:ascii="Trebuchet MS"/>
          <w:sz w:val="23"/>
        </w:rPr>
        <w:t>CESAR</w:t>
      </w:r>
      <w:r>
        <w:rPr>
          <w:rFonts w:ascii="Trebuchet MS"/>
          <w:spacing w:val="1"/>
          <w:sz w:val="23"/>
        </w:rPr>
        <w:t> </w:t>
      </w:r>
      <w:r>
        <w:rPr>
          <w:rFonts w:ascii="Trebuchet MS"/>
          <w:w w:val="90"/>
          <w:sz w:val="23"/>
        </w:rPr>
        <w:t>BENETTI:71794794</w:t>
      </w:r>
    </w:p>
    <w:p>
      <w:pPr>
        <w:spacing w:after="0" w:line="270" w:lineRule="atLeast"/>
        <w:jc w:val="left"/>
        <w:rPr>
          <w:rFonts w:ascii="Trebuchet MS"/>
          <w:sz w:val="23"/>
        </w:rPr>
        <w:sectPr>
          <w:type w:val="continuous"/>
          <w:pgSz w:w="11910" w:h="16840"/>
          <w:pgMar w:top="1840" w:bottom="280" w:left="1600" w:right="1580"/>
          <w:cols w:num="2" w:equalWidth="0">
            <w:col w:w="1539" w:space="316"/>
            <w:col w:w="6875"/>
          </w:cols>
        </w:sectPr>
      </w:pPr>
    </w:p>
    <w:p>
      <w:pPr>
        <w:spacing w:line="330" w:lineRule="exact" w:before="0"/>
        <w:ind w:left="395" w:right="0" w:firstLine="0"/>
        <w:jc w:val="left"/>
        <w:rPr>
          <w:rFonts w:ascii="Trebuchet MS"/>
          <w:sz w:val="23"/>
        </w:rPr>
      </w:pPr>
      <w:r>
        <w:rPr>
          <w:rFonts w:ascii="Trebuchet MS"/>
          <w:w w:val="90"/>
          <w:sz w:val="38"/>
        </w:rPr>
        <w:t>BENETTI:71</w:t>
      </w:r>
      <w:r>
        <w:rPr>
          <w:rFonts w:ascii="Trebuchet MS"/>
          <w:spacing w:val="-29"/>
          <w:w w:val="90"/>
          <w:sz w:val="38"/>
        </w:rPr>
        <w:t> </w:t>
      </w:r>
      <w:r>
        <w:rPr>
          <w:rFonts w:ascii="Trebuchet MS"/>
          <w:w w:val="90"/>
          <w:sz w:val="23"/>
        </w:rPr>
        <w:t>700</w:t>
      </w:r>
    </w:p>
    <w:p>
      <w:pPr>
        <w:spacing w:line="252" w:lineRule="exact" w:before="0"/>
        <w:ind w:left="2250" w:right="0" w:firstLine="0"/>
        <w:jc w:val="left"/>
        <w:rPr>
          <w:rFonts w:ascii="Trebuchet MS"/>
          <w:sz w:val="2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783501pt;margin-top:1.353909pt;width:89.45pt;height:23.3pt;mso-position-horizontal-relative:page;mso-position-vertical-relative:paragraph;z-index:15729152" type="#_x0000_t202" filled="false" stroked="false">
            <v:textbox inset="0,0,0,0">
              <w:txbxContent>
                <w:p>
                  <w:pPr>
                    <w:spacing w:before="12"/>
                    <w:ind w:left="0" w:right="0" w:firstLine="0"/>
                    <w:jc w:val="left"/>
                    <w:rPr>
                      <w:rFonts w:ascii="Trebuchet MS"/>
                      <w:sz w:val="38"/>
                    </w:rPr>
                  </w:pPr>
                  <w:r>
                    <w:rPr>
                      <w:rFonts w:ascii="Trebuchet MS"/>
                      <w:w w:val="95"/>
                      <w:sz w:val="38"/>
                    </w:rPr>
                    <w:t>794794700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23"/>
        </w:rPr>
        <w:t>Dados:</w:t>
      </w:r>
      <w:r>
        <w:rPr>
          <w:rFonts w:ascii="Trebuchet MS"/>
          <w:spacing w:val="2"/>
          <w:w w:val="90"/>
          <w:sz w:val="23"/>
        </w:rPr>
        <w:t> </w:t>
      </w:r>
      <w:r>
        <w:rPr>
          <w:rFonts w:ascii="Trebuchet MS"/>
          <w:w w:val="90"/>
          <w:sz w:val="23"/>
        </w:rPr>
        <w:t>2021.08.16</w:t>
      </w:r>
    </w:p>
    <w:p>
      <w:pPr>
        <w:spacing w:before="7"/>
        <w:ind w:left="2250" w:right="0" w:firstLine="0"/>
        <w:jc w:val="left"/>
        <w:rPr>
          <w:rFonts w:ascii="Trebuchet MS"/>
          <w:sz w:val="23"/>
        </w:rPr>
      </w:pPr>
      <w:r>
        <w:rPr>
          <w:rFonts w:ascii="Trebuchet MS"/>
          <w:w w:val="90"/>
          <w:sz w:val="23"/>
        </w:rPr>
        <w:t>16:56:35</w:t>
      </w:r>
      <w:r>
        <w:rPr>
          <w:rFonts w:ascii="Trebuchet MS"/>
          <w:spacing w:val="2"/>
          <w:w w:val="90"/>
          <w:sz w:val="23"/>
        </w:rPr>
        <w:t> </w:t>
      </w:r>
      <w:r>
        <w:rPr>
          <w:rFonts w:ascii="Trebuchet MS"/>
          <w:w w:val="90"/>
          <w:sz w:val="23"/>
        </w:rPr>
        <w:t>-03'00'</w:t>
      </w:r>
    </w:p>
    <w:p>
      <w:pPr>
        <w:spacing w:before="21"/>
        <w:ind w:left="102" w:right="5420" w:firstLine="0"/>
        <w:jc w:val="left"/>
        <w:rPr>
          <w:sz w:val="24"/>
        </w:rPr>
      </w:pPr>
      <w:r>
        <w:rPr>
          <w:rFonts w:ascii="Arial"/>
          <w:b/>
          <w:sz w:val="24"/>
        </w:rPr>
        <w:t>Pablo Cesar Benetti</w:t>
      </w:r>
      <w:r>
        <w:rPr>
          <w:rFonts w:ascii="Arial"/>
          <w:b/>
          <w:spacing w:val="1"/>
          <w:sz w:val="24"/>
        </w:rPr>
        <w:t> </w:t>
      </w:r>
      <w:r>
        <w:rPr>
          <w:sz w:val="24"/>
        </w:rPr>
        <w:t>Arquiteto e Urbanista</w:t>
      </w:r>
      <w:r>
        <w:rPr>
          <w:spacing w:val="1"/>
          <w:sz w:val="24"/>
        </w:rPr>
        <w:t> </w:t>
      </w:r>
      <w:r>
        <w:rPr>
          <w:sz w:val="24"/>
        </w:rPr>
        <w:t>Presidente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CAU/RJ</w:t>
      </w:r>
    </w:p>
    <w:sectPr>
      <w:type w:val="continuous"/>
      <w:pgSz w:w="11910" w:h="16840"/>
      <w:pgMar w:top="184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8544">
          <wp:simplePos x="0" y="0"/>
          <wp:positionH relativeFrom="page">
            <wp:posOffset>1108748</wp:posOffset>
          </wp:positionH>
          <wp:positionV relativeFrom="page">
            <wp:posOffset>612795</wp:posOffset>
          </wp:positionV>
          <wp:extent cx="5360237" cy="56645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0237" cy="56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outlineLvl w:val="1"/>
    </w:pPr>
    <w:rPr>
      <w:rFonts w:ascii="Trebuchet MS" w:hAnsi="Trebuchet MS" w:eastAsia="Trebuchet MS" w:cs="Trebuchet MS"/>
      <w:sz w:val="38"/>
      <w:szCs w:val="3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73" w:right="167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Talina</dc:creator>
  <dcterms:created xsi:type="dcterms:W3CDTF">2022-05-11T19:46:23Z</dcterms:created>
  <dcterms:modified xsi:type="dcterms:W3CDTF">2022-05-11T19:46:23Z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2022-05-11T00:00:00Z</vt:filetime>
  </property>
</Properties>
</file>