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Heading1"/>
        <w:spacing w:before="94"/>
        <w:ind w:left="966"/>
      </w:pPr>
      <w:r>
        <w:rPr/>
        <w:t>PORTARIA</w:t>
      </w:r>
      <w:r>
        <w:rPr>
          <w:spacing w:val="-3"/>
        </w:rPr>
        <w:t> </w:t>
      </w:r>
      <w:r>
        <w:rPr/>
        <w:t>NORMATIVA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008/2020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CAU/RJ, 09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OUTUBRO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2020.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spacing w:before="0"/>
        <w:ind w:left="4780" w:right="10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Altera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Portaria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Normativa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nº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001/2017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PRES-CAU/RJ, de 17 de março de 2017, para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fixar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reajuste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anual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valores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constantes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da tabela de reembolso no mês de junho 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dispõe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regras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reembolso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gastos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com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plano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saúde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dos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funcionários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durante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pandemia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novo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Coronavírus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(Covid-19).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07"/>
        <w:ind w:left="102" w:right="103"/>
        <w:jc w:val="both"/>
      </w:pPr>
      <w:r>
        <w:rPr/>
        <w:t>Considerando o artigo 35 da Lei nº 12.378/2010, que confere ao Presidente do Conselho de</w:t>
      </w:r>
      <w:r>
        <w:rPr>
          <w:spacing w:val="1"/>
        </w:rPr>
        <w:t> </w:t>
      </w:r>
      <w:r>
        <w:rPr/>
        <w:t>Arquitetura e Urbanismo do Rio de Janeiro – CAU/RJ a atribuição de tratar das questões</w:t>
      </w:r>
      <w:r>
        <w:rPr>
          <w:spacing w:val="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CAU;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before="1"/>
        <w:ind w:left="102" w:right="103"/>
        <w:jc w:val="both"/>
      </w:pPr>
      <w:r>
        <w:rPr/>
        <w:t>Considerando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Portaria</w:t>
      </w:r>
      <w:r>
        <w:rPr>
          <w:spacing w:val="-8"/>
        </w:rPr>
        <w:t> </w:t>
      </w:r>
      <w:r>
        <w:rPr/>
        <w:t>Normativa</w:t>
      </w:r>
      <w:r>
        <w:rPr>
          <w:spacing w:val="-5"/>
        </w:rPr>
        <w:t> </w:t>
      </w:r>
      <w:r>
        <w:rPr/>
        <w:t>nº</w:t>
      </w:r>
      <w:r>
        <w:rPr>
          <w:spacing w:val="-3"/>
        </w:rPr>
        <w:t> </w:t>
      </w:r>
      <w:r>
        <w:rPr/>
        <w:t>001/2017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PRES-CAU/RJ,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17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março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2017,</w:t>
      </w:r>
      <w:r>
        <w:rPr>
          <w:spacing w:val="-4"/>
        </w:rPr>
        <w:t> </w:t>
      </w:r>
      <w:r>
        <w:rPr/>
        <w:t>que</w:t>
      </w:r>
      <w:r>
        <w:rPr>
          <w:spacing w:val="-58"/>
        </w:rPr>
        <w:t> </w:t>
      </w:r>
      <w:r>
        <w:rPr/>
        <w:t>institui e regulamenta o reembolso aos servidores do Conselho de Arquitetura e Urbanismo do</w:t>
      </w:r>
      <w:r>
        <w:rPr>
          <w:spacing w:val="1"/>
        </w:rPr>
        <w:t> </w:t>
      </w:r>
      <w:r>
        <w:rPr/>
        <w:t>Rio</w:t>
      </w:r>
      <w:r>
        <w:rPr>
          <w:spacing w:val="-1"/>
        </w:rPr>
        <w:t> </w:t>
      </w:r>
      <w:r>
        <w:rPr/>
        <w:t>de Janeiro –</w:t>
      </w:r>
      <w:r>
        <w:rPr>
          <w:spacing w:val="-2"/>
        </w:rPr>
        <w:t> </w:t>
      </w:r>
      <w:r>
        <w:rPr/>
        <w:t>CAU/RJ,</w:t>
      </w:r>
      <w:r>
        <w:rPr>
          <w:spacing w:val="-2"/>
        </w:rPr>
        <w:t> </w:t>
      </w:r>
      <w:r>
        <w:rPr/>
        <w:t>referente</w:t>
      </w:r>
      <w:r>
        <w:rPr>
          <w:spacing w:val="-2"/>
        </w:rPr>
        <w:t> </w:t>
      </w:r>
      <w:r>
        <w:rPr/>
        <w:t>aos</w:t>
      </w:r>
      <w:r>
        <w:rPr>
          <w:spacing w:val="-3"/>
        </w:rPr>
        <w:t> </w:t>
      </w:r>
      <w:r>
        <w:rPr/>
        <w:t>gastos</w:t>
      </w:r>
      <w:r>
        <w:rPr>
          <w:spacing w:val="-2"/>
        </w:rPr>
        <w:t> </w:t>
      </w:r>
      <w:r>
        <w:rPr/>
        <w:t>com plano de</w:t>
      </w:r>
      <w:r>
        <w:rPr>
          <w:spacing w:val="-2"/>
        </w:rPr>
        <w:t> </w:t>
      </w:r>
      <w:r>
        <w:rPr/>
        <w:t>saúde</w:t>
      </w:r>
      <w:r>
        <w:rPr>
          <w:spacing w:val="-3"/>
        </w:rPr>
        <w:t> </w:t>
      </w:r>
      <w:r>
        <w:rPr/>
        <w:t>e dá</w:t>
      </w:r>
      <w:r>
        <w:rPr>
          <w:spacing w:val="-5"/>
        </w:rPr>
        <w:t> </w:t>
      </w:r>
      <w:r>
        <w:rPr/>
        <w:t>outras</w:t>
      </w:r>
      <w:r>
        <w:rPr>
          <w:spacing w:val="-2"/>
        </w:rPr>
        <w:t> </w:t>
      </w:r>
      <w:r>
        <w:rPr/>
        <w:t>providências;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102" w:right="104"/>
        <w:jc w:val="both"/>
      </w:pPr>
      <w:r>
        <w:rPr/>
        <w:t>Considerando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sexta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Coletivo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em</w:t>
      </w:r>
      <w:r>
        <w:rPr>
          <w:spacing w:val="-59"/>
        </w:rPr>
        <w:t> </w:t>
      </w:r>
      <w:r>
        <w:rPr/>
        <w:t>24/03/2017 com o Sindicato dos Servidores das Autarquias de Fiscalização Profissional e</w:t>
      </w:r>
      <w:r>
        <w:rPr>
          <w:spacing w:val="1"/>
        </w:rPr>
        <w:t> </w:t>
      </w:r>
      <w:r>
        <w:rPr/>
        <w:t>Entidades Coligadas no Estado do Rio de Janeiro – SINSAFISPRO/RJ, bem como o artigo 4º, §</w:t>
      </w:r>
      <w:r>
        <w:rPr>
          <w:spacing w:val="-60"/>
        </w:rPr>
        <w:t> </w:t>
      </w:r>
      <w:r>
        <w:rPr/>
        <w:t>4º da Portaria Normativa nº 001/2017 – PRES-CAU/RJ estabelecem que o Conselho reajustará</w:t>
      </w:r>
      <w:r>
        <w:rPr>
          <w:spacing w:val="-59"/>
        </w:rPr>
        <w:t> </w:t>
      </w:r>
      <w:r>
        <w:rPr/>
        <w:t>anualmente os valores constantes da tabela de reembolso, de modo que os valores praticados</w:t>
      </w:r>
      <w:r>
        <w:rPr>
          <w:spacing w:val="1"/>
        </w:rPr>
        <w:t> </w:t>
      </w:r>
      <w:r>
        <w:rPr/>
        <w:t>incorporem a média dos aumentos no preço dos planos de saúde empresariais ofertados pelas</w:t>
      </w:r>
      <w:r>
        <w:rPr>
          <w:spacing w:val="1"/>
        </w:rPr>
        <w:t> </w:t>
      </w:r>
      <w:r>
        <w:rPr/>
        <w:t>empresas Sul América, Bradesco e Amil, que foram utilizados como referência para o cálculo</w:t>
      </w:r>
      <w:r>
        <w:rPr>
          <w:spacing w:val="1"/>
        </w:rPr>
        <w:t> </w:t>
      </w:r>
      <w:r>
        <w:rPr/>
        <w:t>dos valores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reembolso.</w:t>
      </w:r>
    </w:p>
    <w:p>
      <w:pPr>
        <w:pStyle w:val="BodyText"/>
        <w:rPr>
          <w:sz w:val="33"/>
        </w:rPr>
      </w:pPr>
    </w:p>
    <w:p>
      <w:pPr>
        <w:pStyle w:val="BodyText"/>
        <w:ind w:left="102" w:right="101"/>
        <w:jc w:val="both"/>
      </w:pPr>
      <w:r>
        <w:rPr/>
        <w:t>Considerando que, em razão da pandemia do novo Coronavírus (Covid-19) a Agência Nacional</w:t>
      </w:r>
      <w:r>
        <w:rPr>
          <w:spacing w:val="-59"/>
        </w:rPr>
        <w:t> </w:t>
      </w:r>
      <w:r>
        <w:rPr/>
        <w:t>de Saúde – ANS suspendeu todos os reajustes incidentes sobre os planos de saúde por 120</w:t>
      </w:r>
      <w:r>
        <w:rPr>
          <w:spacing w:val="1"/>
        </w:rPr>
        <w:t> </w:t>
      </w:r>
      <w:r>
        <w:rPr/>
        <w:t>(cento</w:t>
      </w:r>
      <w:r>
        <w:rPr>
          <w:spacing w:val="-3"/>
        </w:rPr>
        <w:t> </w:t>
      </w:r>
      <w:r>
        <w:rPr/>
        <w:t>e vinte)</w:t>
      </w:r>
      <w:r>
        <w:rPr>
          <w:spacing w:val="-1"/>
        </w:rPr>
        <w:t> </w:t>
      </w:r>
      <w:r>
        <w:rPr/>
        <w:t>dias,</w:t>
      </w:r>
      <w:r>
        <w:rPr>
          <w:spacing w:val="-1"/>
        </w:rPr>
        <w:t> </w:t>
      </w:r>
      <w:r>
        <w:rPr/>
        <w:t>ou seja, até</w:t>
      </w:r>
      <w:r>
        <w:rPr>
          <w:spacing w:val="-1"/>
        </w:rPr>
        <w:t> </w:t>
      </w:r>
      <w:r>
        <w:rPr/>
        <w:t>21 dezembro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2020;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102" w:right="103"/>
        <w:jc w:val="both"/>
      </w:pPr>
      <w:r>
        <w:rPr/>
        <w:t>Considerando que, apesar da suspensão, alguns funcionários do CAU/RJ receberam boletos</w:t>
      </w:r>
      <w:r>
        <w:rPr>
          <w:spacing w:val="1"/>
        </w:rPr>
        <w:t> </w:t>
      </w:r>
      <w:r>
        <w:rPr/>
        <w:t>referentes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mês</w:t>
      </w:r>
      <w:r>
        <w:rPr>
          <w:spacing w:val="-2"/>
        </w:rPr>
        <w:t> </w:t>
      </w:r>
      <w:r>
        <w:rPr/>
        <w:t>de agosto</w:t>
      </w:r>
      <w:r>
        <w:rPr>
          <w:spacing w:val="1"/>
        </w:rPr>
        <w:t> </w:t>
      </w:r>
      <w:r>
        <w:rPr/>
        <w:t>deste</w:t>
      </w:r>
      <w:r>
        <w:rPr>
          <w:spacing w:val="-2"/>
        </w:rPr>
        <w:t> </w:t>
      </w:r>
      <w:r>
        <w:rPr/>
        <w:t>ano com</w:t>
      </w:r>
      <w:r>
        <w:rPr>
          <w:spacing w:val="2"/>
        </w:rPr>
        <w:t> </w:t>
      </w:r>
      <w:r>
        <w:rPr/>
        <w:t>os valores</w:t>
      </w:r>
      <w:r>
        <w:rPr>
          <w:spacing w:val="1"/>
        </w:rPr>
        <w:t> </w:t>
      </w:r>
      <w:r>
        <w:rPr/>
        <w:t>reajustados.</w:t>
      </w:r>
    </w:p>
    <w:p>
      <w:pPr>
        <w:pStyle w:val="BodyText"/>
        <w:rPr>
          <w:sz w:val="33"/>
        </w:rPr>
      </w:pPr>
    </w:p>
    <w:p>
      <w:pPr>
        <w:pStyle w:val="Heading1"/>
        <w:spacing w:before="1"/>
      </w:pPr>
      <w:r>
        <w:rPr/>
        <w:t>RESOLVE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BodyText"/>
        <w:ind w:left="102" w:right="102"/>
        <w:jc w:val="both"/>
      </w:pPr>
      <w:r>
        <w:rPr/>
        <w:t>Art. 1º. Alterar o artigo 4º, § 4º da Portaria Normativa nº 001/2017 – PRES-CAU/RJ, para fixar o</w:t>
      </w:r>
      <w:r>
        <w:rPr>
          <w:spacing w:val="-59"/>
        </w:rPr>
        <w:t> </w:t>
      </w:r>
      <w:r>
        <w:rPr/>
        <w:t>reajuste</w:t>
      </w:r>
      <w:r>
        <w:rPr>
          <w:spacing w:val="-1"/>
        </w:rPr>
        <w:t> </w:t>
      </w:r>
      <w:r>
        <w:rPr/>
        <w:t>anual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valores constantes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tabela</w:t>
      </w:r>
      <w:r>
        <w:rPr>
          <w:spacing w:val="-2"/>
        </w:rPr>
        <w:t> </w:t>
      </w:r>
      <w:r>
        <w:rPr/>
        <w:t>de reembolso</w:t>
      </w:r>
      <w:r>
        <w:rPr>
          <w:spacing w:val="3"/>
        </w:rPr>
        <w:t> </w:t>
      </w:r>
      <w:r>
        <w:rPr/>
        <w:t>no</w:t>
      </w:r>
      <w:r>
        <w:rPr>
          <w:spacing w:val="-2"/>
        </w:rPr>
        <w:t> </w:t>
      </w:r>
      <w:r>
        <w:rPr/>
        <w:t>mês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junho.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02" w:right="102"/>
        <w:jc w:val="both"/>
      </w:pPr>
      <w:r>
        <w:rPr/>
        <w:t>Art. 2º. A tabela prevista nesta Portaria Normativa contempla os valores reajustados em junho</w:t>
      </w:r>
      <w:r>
        <w:rPr>
          <w:spacing w:val="1"/>
        </w:rPr>
        <w:t> </w:t>
      </w:r>
      <w:r>
        <w:rPr/>
        <w:t>de</w:t>
      </w:r>
      <w:r>
        <w:rPr>
          <w:spacing w:val="27"/>
        </w:rPr>
        <w:t> </w:t>
      </w:r>
      <w:r>
        <w:rPr/>
        <w:t>2020.</w:t>
      </w:r>
      <w:r>
        <w:rPr>
          <w:spacing w:val="26"/>
        </w:rPr>
        <w:t> </w:t>
      </w:r>
      <w:r>
        <w:rPr/>
        <w:t>Porém,</w:t>
      </w:r>
      <w:r>
        <w:rPr>
          <w:spacing w:val="28"/>
        </w:rPr>
        <w:t> </w:t>
      </w:r>
      <w:r>
        <w:rPr/>
        <w:t>em</w:t>
      </w:r>
      <w:r>
        <w:rPr>
          <w:spacing w:val="24"/>
        </w:rPr>
        <w:t> </w:t>
      </w:r>
      <w:r>
        <w:rPr/>
        <w:t>razão</w:t>
      </w:r>
      <w:r>
        <w:rPr>
          <w:spacing w:val="29"/>
        </w:rPr>
        <w:t> </w:t>
      </w:r>
      <w:r>
        <w:rPr/>
        <w:t>da</w:t>
      </w:r>
      <w:r>
        <w:rPr>
          <w:spacing w:val="25"/>
        </w:rPr>
        <w:t> </w:t>
      </w:r>
      <w:r>
        <w:rPr/>
        <w:t>suspensão</w:t>
      </w:r>
      <w:r>
        <w:rPr>
          <w:spacing w:val="28"/>
        </w:rPr>
        <w:t> </w:t>
      </w:r>
      <w:r>
        <w:rPr/>
        <w:t>determinada</w:t>
      </w:r>
      <w:r>
        <w:rPr>
          <w:spacing w:val="28"/>
        </w:rPr>
        <w:t> </w:t>
      </w:r>
      <w:r>
        <w:rPr/>
        <w:t>pela</w:t>
      </w:r>
      <w:r>
        <w:rPr>
          <w:spacing w:val="26"/>
        </w:rPr>
        <w:t> </w:t>
      </w:r>
      <w:r>
        <w:rPr/>
        <w:t>ANS,</w:t>
      </w:r>
      <w:r>
        <w:rPr>
          <w:spacing w:val="26"/>
        </w:rPr>
        <w:t> </w:t>
      </w:r>
      <w:r>
        <w:rPr/>
        <w:t>os</w:t>
      </w:r>
      <w:r>
        <w:rPr>
          <w:spacing w:val="26"/>
        </w:rPr>
        <w:t> </w:t>
      </w:r>
      <w:r>
        <w:rPr/>
        <w:t>novos</w:t>
      </w:r>
      <w:r>
        <w:rPr>
          <w:spacing w:val="28"/>
        </w:rPr>
        <w:t> </w:t>
      </w:r>
      <w:r>
        <w:rPr/>
        <w:t>valores</w:t>
      </w:r>
      <w:r>
        <w:rPr>
          <w:spacing w:val="26"/>
        </w:rPr>
        <w:t> </w:t>
      </w:r>
      <w:r>
        <w:rPr/>
        <w:t>somente</w:t>
      </w:r>
    </w:p>
    <w:p>
      <w:pPr>
        <w:spacing w:before="92"/>
        <w:ind w:left="253" w:right="570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line="228" w:lineRule="exact" w:before="0"/>
        <w:ind w:left="253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 w:line="228" w:lineRule="exact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996" w:footer="745" w:top="1960" w:bottom="940" w:left="1600" w:right="740"/>
          <w:pgNumType w:start="1"/>
        </w:sectPr>
      </w:pP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BodyText"/>
        <w:spacing w:before="94"/>
        <w:ind w:left="102"/>
      </w:pPr>
      <w:r>
        <w:rPr/>
        <w:t>serão adotados quando a suspensão for revogada, exceto os referentes ao mês de agosto, que</w:t>
      </w:r>
      <w:r>
        <w:rPr>
          <w:spacing w:val="-59"/>
        </w:rPr>
        <w:t> </w:t>
      </w:r>
      <w:r>
        <w:rPr/>
        <w:t>serão</w:t>
      </w:r>
      <w:r>
        <w:rPr>
          <w:spacing w:val="-10"/>
        </w:rPr>
        <w:t> </w:t>
      </w:r>
      <w:r>
        <w:rPr/>
        <w:t>reembolsados</w:t>
      </w:r>
      <w:r>
        <w:rPr>
          <w:spacing w:val="-10"/>
        </w:rPr>
        <w:t> </w:t>
      </w:r>
      <w:r>
        <w:rPr/>
        <w:t>com</w:t>
      </w:r>
      <w:r>
        <w:rPr>
          <w:spacing w:val="-6"/>
        </w:rPr>
        <w:t> </w:t>
      </w:r>
      <w:r>
        <w:rPr/>
        <w:t>reajuste</w:t>
      </w:r>
      <w:r>
        <w:rPr>
          <w:spacing w:val="-7"/>
        </w:rPr>
        <w:t> </w:t>
      </w:r>
      <w:r>
        <w:rPr/>
        <w:t>para</w:t>
      </w:r>
      <w:r>
        <w:rPr>
          <w:spacing w:val="-10"/>
        </w:rPr>
        <w:t> </w:t>
      </w:r>
      <w:r>
        <w:rPr/>
        <w:t>todos</w:t>
      </w:r>
      <w:r>
        <w:rPr>
          <w:spacing w:val="-7"/>
        </w:rPr>
        <w:t> </w:t>
      </w:r>
      <w:r>
        <w:rPr/>
        <w:t>os</w:t>
      </w:r>
      <w:r>
        <w:rPr>
          <w:spacing w:val="-12"/>
        </w:rPr>
        <w:t> </w:t>
      </w:r>
      <w:r>
        <w:rPr/>
        <w:t>funcionários</w:t>
      </w:r>
      <w:r>
        <w:rPr>
          <w:spacing w:val="-7"/>
        </w:rPr>
        <w:t> </w:t>
      </w:r>
      <w:r>
        <w:rPr/>
        <w:t>na</w:t>
      </w:r>
      <w:r>
        <w:rPr>
          <w:spacing w:val="-10"/>
        </w:rPr>
        <w:t> </w:t>
      </w:r>
      <w:r>
        <w:rPr/>
        <w:t>folha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pagamento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outubro.</w:t>
      </w:r>
    </w:p>
    <w:p>
      <w:pPr>
        <w:pStyle w:val="BodyText"/>
        <w:rPr>
          <w:sz w:val="33"/>
        </w:rPr>
      </w:pPr>
    </w:p>
    <w:p>
      <w:pPr>
        <w:pStyle w:val="BodyText"/>
        <w:ind w:left="102"/>
      </w:pPr>
      <w:r>
        <w:rPr/>
        <w:t>Art.</w:t>
      </w:r>
      <w:r>
        <w:rPr>
          <w:spacing w:val="5"/>
        </w:rPr>
        <w:t> </w:t>
      </w:r>
      <w:r>
        <w:rPr/>
        <w:t>3º.</w:t>
      </w:r>
      <w:r>
        <w:rPr>
          <w:spacing w:val="6"/>
        </w:rPr>
        <w:t> </w:t>
      </w:r>
      <w:r>
        <w:rPr/>
        <w:t>O</w:t>
      </w:r>
      <w:r>
        <w:rPr>
          <w:spacing w:val="2"/>
        </w:rPr>
        <w:t> </w:t>
      </w:r>
      <w:r>
        <w:rPr/>
        <w:t>reajuste</w:t>
      </w:r>
      <w:r>
        <w:rPr>
          <w:spacing w:val="5"/>
        </w:rPr>
        <w:t> </w:t>
      </w:r>
      <w:r>
        <w:rPr/>
        <w:t>dos</w:t>
      </w:r>
      <w:r>
        <w:rPr>
          <w:spacing w:val="4"/>
        </w:rPr>
        <w:t> </w:t>
      </w:r>
      <w:r>
        <w:rPr/>
        <w:t>demais</w:t>
      </w:r>
      <w:r>
        <w:rPr>
          <w:spacing w:val="5"/>
        </w:rPr>
        <w:t> </w:t>
      </w:r>
      <w:r>
        <w:rPr/>
        <w:t>meses</w:t>
      </w:r>
      <w:r>
        <w:rPr>
          <w:spacing w:val="4"/>
        </w:rPr>
        <w:t> </w:t>
      </w:r>
      <w:r>
        <w:rPr/>
        <w:t>será</w:t>
      </w:r>
      <w:r>
        <w:rPr>
          <w:spacing w:val="5"/>
        </w:rPr>
        <w:t> </w:t>
      </w:r>
      <w:r>
        <w:rPr/>
        <w:t>aplicado</w:t>
      </w:r>
      <w:r>
        <w:rPr>
          <w:spacing w:val="3"/>
        </w:rPr>
        <w:t> </w:t>
      </w:r>
      <w:r>
        <w:rPr/>
        <w:t>quando</w:t>
      </w:r>
      <w:r>
        <w:rPr>
          <w:spacing w:val="4"/>
        </w:rPr>
        <w:t> </w:t>
      </w:r>
      <w:r>
        <w:rPr/>
        <w:t>encerrar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suspensão</w:t>
      </w:r>
      <w:r>
        <w:rPr>
          <w:spacing w:val="5"/>
        </w:rPr>
        <w:t> </w:t>
      </w:r>
      <w:r>
        <w:rPr/>
        <w:t>determinada</w:t>
      </w:r>
      <w:r>
        <w:rPr>
          <w:spacing w:val="-59"/>
        </w:rPr>
        <w:t> </w:t>
      </w:r>
      <w:r>
        <w:rPr/>
        <w:t>pela</w:t>
      </w:r>
      <w:r>
        <w:rPr>
          <w:spacing w:val="-1"/>
        </w:rPr>
        <w:t> </w:t>
      </w:r>
      <w:r>
        <w:rPr/>
        <w:t>ANS,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maneira</w:t>
      </w:r>
      <w:r>
        <w:rPr>
          <w:spacing w:val="-2"/>
        </w:rPr>
        <w:t> </w:t>
      </w:r>
      <w:r>
        <w:rPr/>
        <w:t>retroativa</w:t>
      </w:r>
      <w:r>
        <w:rPr>
          <w:spacing w:val="1"/>
        </w:rPr>
        <w:t> </w:t>
      </w:r>
      <w:r>
        <w:rPr/>
        <w:t>à data</w:t>
      </w:r>
      <w:r>
        <w:rPr>
          <w:spacing w:val="-3"/>
        </w:rPr>
        <w:t> </w:t>
      </w:r>
      <w:r>
        <w:rPr/>
        <w:t>em</w:t>
      </w:r>
      <w:r>
        <w:rPr>
          <w:spacing w:val="-1"/>
        </w:rPr>
        <w:t> </w:t>
      </w:r>
      <w:r>
        <w:rPr/>
        <w:t>que ocorreu</w:t>
      </w:r>
      <w:r>
        <w:rPr>
          <w:spacing w:val="-3"/>
        </w:rPr>
        <w:t> </w:t>
      </w:r>
      <w:r>
        <w:rPr/>
        <w:t>a suspensão</w:t>
      </w:r>
      <w:r>
        <w:rPr>
          <w:spacing w:val="-3"/>
        </w:rPr>
        <w:t> </w:t>
      </w:r>
      <w:r>
        <w:rPr/>
        <w:t>(21.08.2020).</w:t>
      </w:r>
    </w:p>
    <w:p>
      <w:pPr>
        <w:pStyle w:val="BodyText"/>
        <w:rPr>
          <w:sz w:val="33"/>
        </w:rPr>
      </w:pPr>
    </w:p>
    <w:p>
      <w:pPr>
        <w:pStyle w:val="BodyText"/>
        <w:ind w:left="102"/>
      </w:pPr>
      <w:r>
        <w:rPr/>
        <w:t>Art.</w:t>
      </w:r>
      <w:r>
        <w:rPr>
          <w:spacing w:val="1"/>
        </w:rPr>
        <w:t> </w:t>
      </w:r>
      <w:r>
        <w:rPr/>
        <w:t>4º.</w:t>
      </w:r>
      <w:r>
        <w:rPr>
          <w:spacing w:val="1"/>
        </w:rPr>
        <w:t> </w:t>
      </w:r>
      <w:r>
        <w:rPr/>
        <w:t>A tabela</w:t>
      </w:r>
      <w:r>
        <w:rPr>
          <w:spacing w:val="1"/>
        </w:rPr>
        <w:t> </w:t>
      </w:r>
      <w:r>
        <w:rPr/>
        <w:t>abaixo se</w:t>
      </w:r>
      <w:r>
        <w:rPr>
          <w:spacing w:val="1"/>
        </w:rPr>
        <w:t> </w:t>
      </w:r>
      <w:r>
        <w:rPr/>
        <w:t>refere apenas ao mês</w:t>
      </w:r>
      <w:r>
        <w:rPr>
          <w:spacing w:val="1"/>
        </w:rPr>
        <w:t> </w:t>
      </w:r>
      <w:r>
        <w:rPr/>
        <w:t>de agosto e segue o percentual de reajuste</w:t>
      </w:r>
      <w:r>
        <w:rPr>
          <w:spacing w:val="-59"/>
        </w:rPr>
        <w:t> </w:t>
      </w:r>
      <w:r>
        <w:rPr/>
        <w:t>adotado pelos</w:t>
      </w:r>
      <w:r>
        <w:rPr>
          <w:spacing w:val="-2"/>
        </w:rPr>
        <w:t> </w:t>
      </w:r>
      <w:r>
        <w:rPr/>
        <w:t>planos de</w:t>
      </w:r>
      <w:r>
        <w:rPr>
          <w:spacing w:val="-1"/>
        </w:rPr>
        <w:t> </w:t>
      </w:r>
      <w:r>
        <w:rPr/>
        <w:t>saúde: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7"/>
        <w:gridCol w:w="1472"/>
        <w:gridCol w:w="1702"/>
        <w:gridCol w:w="1558"/>
        <w:gridCol w:w="1703"/>
      </w:tblGrid>
      <w:tr>
        <w:trPr>
          <w:trHeight w:val="755" w:hRule="atLeast"/>
        </w:trPr>
        <w:tc>
          <w:tcPr>
            <w:tcW w:w="150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5" w:right="10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Faixa Etária</w:t>
            </w:r>
          </w:p>
        </w:tc>
        <w:tc>
          <w:tcPr>
            <w:tcW w:w="147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6" w:right="10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PN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nº</w:t>
            </w:r>
            <w:r>
              <w:rPr>
                <w:rFonts w:ascii="Arial" w:hAnsi="Arial"/>
                <w:b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001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391" w:right="0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Reajuste</w:t>
            </w:r>
          </w:p>
          <w:p>
            <w:pPr>
              <w:pStyle w:val="TableParagraph"/>
              <w:spacing w:before="126"/>
              <w:ind w:left="477" w:right="0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16,03%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5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Titular 90%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19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Dependente</w:t>
            </w:r>
          </w:p>
          <w:p>
            <w:pPr>
              <w:pStyle w:val="TableParagraph"/>
              <w:spacing w:before="126"/>
              <w:ind w:right="19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50%</w:t>
            </w:r>
          </w:p>
        </w:tc>
      </w:tr>
      <w:tr>
        <w:trPr>
          <w:trHeight w:val="376" w:hRule="atLeast"/>
        </w:trPr>
        <w:tc>
          <w:tcPr>
            <w:tcW w:w="15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left="115" w:right="103"/>
              <w:rPr>
                <w:sz w:val="22"/>
              </w:rPr>
            </w:pPr>
            <w:r>
              <w:rPr>
                <w:sz w:val="22"/>
              </w:rPr>
              <w:t>00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18</w:t>
            </w:r>
          </w:p>
        </w:tc>
        <w:tc>
          <w:tcPr>
            <w:tcW w:w="14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left="116" w:right="105"/>
              <w:rPr>
                <w:sz w:val="22"/>
              </w:rPr>
            </w:pPr>
            <w:r>
              <w:rPr>
                <w:sz w:val="22"/>
              </w:rPr>
              <w:t>R$ 391,26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left="230" w:right="219"/>
              <w:rPr>
                <w:sz w:val="22"/>
              </w:rPr>
            </w:pPr>
            <w:r>
              <w:rPr>
                <w:sz w:val="22"/>
              </w:rPr>
              <w:t>R$ 453,97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left="156"/>
              <w:rPr>
                <w:sz w:val="22"/>
              </w:rPr>
            </w:pPr>
            <w:r>
              <w:rPr>
                <w:sz w:val="22"/>
              </w:rPr>
              <w:t>R$ 408,58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right="191"/>
              <w:rPr>
                <w:sz w:val="22"/>
              </w:rPr>
            </w:pPr>
            <w:r>
              <w:rPr>
                <w:sz w:val="22"/>
              </w:rPr>
              <w:t>R$ 226,99</w:t>
            </w:r>
          </w:p>
        </w:tc>
      </w:tr>
      <w:tr>
        <w:trPr>
          <w:trHeight w:val="381" w:hRule="atLeast"/>
        </w:trPr>
        <w:tc>
          <w:tcPr>
            <w:tcW w:w="1507" w:type="dxa"/>
          </w:tcPr>
          <w:p>
            <w:pPr>
              <w:pStyle w:val="TableParagraph"/>
              <w:spacing w:before="2"/>
              <w:ind w:left="115" w:right="103"/>
              <w:rPr>
                <w:sz w:val="22"/>
              </w:rPr>
            </w:pPr>
            <w:r>
              <w:rPr>
                <w:sz w:val="22"/>
              </w:rPr>
              <w:t>19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23</w:t>
            </w:r>
          </w:p>
        </w:tc>
        <w:tc>
          <w:tcPr>
            <w:tcW w:w="1472" w:type="dxa"/>
          </w:tcPr>
          <w:p>
            <w:pPr>
              <w:pStyle w:val="TableParagraph"/>
              <w:spacing w:before="2"/>
              <w:ind w:left="116" w:right="105"/>
              <w:rPr>
                <w:sz w:val="22"/>
              </w:rPr>
            </w:pPr>
            <w:r>
              <w:rPr>
                <w:sz w:val="22"/>
              </w:rPr>
              <w:t>R$ 485,49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230" w:right="219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563,31</w:t>
            </w:r>
          </w:p>
        </w:tc>
        <w:tc>
          <w:tcPr>
            <w:tcW w:w="1558" w:type="dxa"/>
          </w:tcPr>
          <w:p>
            <w:pPr>
              <w:pStyle w:val="TableParagraph"/>
              <w:spacing w:before="2"/>
              <w:ind w:left="156"/>
              <w:rPr>
                <w:sz w:val="22"/>
              </w:rPr>
            </w:pPr>
            <w:r>
              <w:rPr>
                <w:sz w:val="22"/>
              </w:rPr>
              <w:t>R$ 506,98</w:t>
            </w:r>
          </w:p>
        </w:tc>
        <w:tc>
          <w:tcPr>
            <w:tcW w:w="1703" w:type="dxa"/>
          </w:tcPr>
          <w:p>
            <w:pPr>
              <w:pStyle w:val="TableParagraph"/>
              <w:spacing w:before="2"/>
              <w:ind w:right="191"/>
              <w:rPr>
                <w:sz w:val="22"/>
              </w:rPr>
            </w:pPr>
            <w:r>
              <w:rPr>
                <w:sz w:val="22"/>
              </w:rPr>
              <w:t>R$ 281,66</w:t>
            </w:r>
          </w:p>
        </w:tc>
      </w:tr>
      <w:tr>
        <w:trPr>
          <w:trHeight w:val="378" w:hRule="atLeast"/>
        </w:trPr>
        <w:tc>
          <w:tcPr>
            <w:tcW w:w="1507" w:type="dxa"/>
          </w:tcPr>
          <w:p>
            <w:pPr>
              <w:pStyle w:val="TableParagraph"/>
              <w:ind w:left="115" w:right="103"/>
              <w:rPr>
                <w:sz w:val="22"/>
              </w:rPr>
            </w:pPr>
            <w:r>
              <w:rPr>
                <w:sz w:val="22"/>
              </w:rPr>
              <w:t>24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28</w:t>
            </w:r>
          </w:p>
        </w:tc>
        <w:tc>
          <w:tcPr>
            <w:tcW w:w="1472" w:type="dxa"/>
          </w:tcPr>
          <w:p>
            <w:pPr>
              <w:pStyle w:val="TableParagraph"/>
              <w:ind w:left="116" w:right="105"/>
              <w:rPr>
                <w:sz w:val="22"/>
              </w:rPr>
            </w:pPr>
            <w:r>
              <w:rPr>
                <w:sz w:val="22"/>
              </w:rPr>
              <w:t>R$ 603,70</w:t>
            </w:r>
          </w:p>
        </w:tc>
        <w:tc>
          <w:tcPr>
            <w:tcW w:w="1702" w:type="dxa"/>
          </w:tcPr>
          <w:p>
            <w:pPr>
              <w:pStyle w:val="TableParagraph"/>
              <w:ind w:left="230" w:right="219"/>
              <w:rPr>
                <w:sz w:val="22"/>
              </w:rPr>
            </w:pPr>
            <w:r>
              <w:rPr>
                <w:sz w:val="22"/>
              </w:rPr>
              <w:t>R$ 700,48</w:t>
            </w:r>
          </w:p>
        </w:tc>
        <w:tc>
          <w:tcPr>
            <w:tcW w:w="1558" w:type="dxa"/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sz w:val="22"/>
              </w:rPr>
              <w:t>R$ 630,43</w:t>
            </w:r>
          </w:p>
        </w:tc>
        <w:tc>
          <w:tcPr>
            <w:tcW w:w="1703" w:type="dxa"/>
          </w:tcPr>
          <w:p>
            <w:pPr>
              <w:pStyle w:val="TableParagraph"/>
              <w:ind w:right="191"/>
              <w:rPr>
                <w:sz w:val="22"/>
              </w:rPr>
            </w:pPr>
            <w:r>
              <w:rPr>
                <w:sz w:val="22"/>
              </w:rPr>
              <w:t>R$ 350,24</w:t>
            </w:r>
          </w:p>
        </w:tc>
      </w:tr>
      <w:tr>
        <w:trPr>
          <w:trHeight w:val="378" w:hRule="atLeast"/>
        </w:trPr>
        <w:tc>
          <w:tcPr>
            <w:tcW w:w="1507" w:type="dxa"/>
          </w:tcPr>
          <w:p>
            <w:pPr>
              <w:pStyle w:val="TableParagraph"/>
              <w:ind w:left="115" w:right="103"/>
              <w:rPr>
                <w:sz w:val="22"/>
              </w:rPr>
            </w:pPr>
            <w:r>
              <w:rPr>
                <w:sz w:val="22"/>
              </w:rPr>
              <w:t>29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33</w:t>
            </w:r>
          </w:p>
        </w:tc>
        <w:tc>
          <w:tcPr>
            <w:tcW w:w="1472" w:type="dxa"/>
          </w:tcPr>
          <w:p>
            <w:pPr>
              <w:pStyle w:val="TableParagraph"/>
              <w:ind w:left="116" w:right="105"/>
              <w:rPr>
                <w:sz w:val="22"/>
              </w:rPr>
            </w:pPr>
            <w:r>
              <w:rPr>
                <w:sz w:val="22"/>
              </w:rPr>
              <w:t>R$ 666,06</w:t>
            </w:r>
          </w:p>
        </w:tc>
        <w:tc>
          <w:tcPr>
            <w:tcW w:w="1702" w:type="dxa"/>
          </w:tcPr>
          <w:p>
            <w:pPr>
              <w:pStyle w:val="TableParagraph"/>
              <w:ind w:left="230" w:right="219"/>
              <w:rPr>
                <w:sz w:val="22"/>
              </w:rPr>
            </w:pPr>
            <w:r>
              <w:rPr>
                <w:sz w:val="22"/>
              </w:rPr>
              <w:t>R$ 772,83</w:t>
            </w:r>
          </w:p>
        </w:tc>
        <w:tc>
          <w:tcPr>
            <w:tcW w:w="1558" w:type="dxa"/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sz w:val="22"/>
              </w:rPr>
              <w:t>R$ 695,55</w:t>
            </w:r>
          </w:p>
        </w:tc>
        <w:tc>
          <w:tcPr>
            <w:tcW w:w="1703" w:type="dxa"/>
          </w:tcPr>
          <w:p>
            <w:pPr>
              <w:pStyle w:val="TableParagraph"/>
              <w:ind w:right="191"/>
              <w:rPr>
                <w:sz w:val="22"/>
              </w:rPr>
            </w:pPr>
            <w:r>
              <w:rPr>
                <w:sz w:val="22"/>
              </w:rPr>
              <w:t>R$ 386,41</w:t>
            </w:r>
          </w:p>
        </w:tc>
      </w:tr>
      <w:tr>
        <w:trPr>
          <w:trHeight w:val="378" w:hRule="atLeast"/>
        </w:trPr>
        <w:tc>
          <w:tcPr>
            <w:tcW w:w="1507" w:type="dxa"/>
          </w:tcPr>
          <w:p>
            <w:pPr>
              <w:pStyle w:val="TableParagraph"/>
              <w:ind w:left="115" w:right="103"/>
              <w:rPr>
                <w:sz w:val="22"/>
              </w:rPr>
            </w:pPr>
            <w:r>
              <w:rPr>
                <w:sz w:val="22"/>
              </w:rPr>
              <w:t>34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38</w:t>
            </w:r>
          </w:p>
        </w:tc>
        <w:tc>
          <w:tcPr>
            <w:tcW w:w="1472" w:type="dxa"/>
          </w:tcPr>
          <w:p>
            <w:pPr>
              <w:pStyle w:val="TableParagraph"/>
              <w:ind w:left="116" w:right="105"/>
              <w:rPr>
                <w:sz w:val="22"/>
              </w:rPr>
            </w:pPr>
            <w:r>
              <w:rPr>
                <w:sz w:val="22"/>
              </w:rPr>
              <w:t>R$ 705,91</w:t>
            </w:r>
          </w:p>
        </w:tc>
        <w:tc>
          <w:tcPr>
            <w:tcW w:w="1702" w:type="dxa"/>
          </w:tcPr>
          <w:p>
            <w:pPr>
              <w:pStyle w:val="TableParagraph"/>
              <w:ind w:left="230" w:right="219"/>
              <w:rPr>
                <w:sz w:val="22"/>
              </w:rPr>
            </w:pPr>
            <w:r>
              <w:rPr>
                <w:sz w:val="22"/>
              </w:rPr>
              <w:t>R$ 819,07</w:t>
            </w:r>
          </w:p>
        </w:tc>
        <w:tc>
          <w:tcPr>
            <w:tcW w:w="1558" w:type="dxa"/>
          </w:tcPr>
          <w:p>
            <w:pPr>
              <w:pStyle w:val="TableParagraph"/>
              <w:ind w:left="156"/>
              <w:rPr>
                <w:sz w:val="22"/>
              </w:rPr>
            </w:pPr>
            <w:r>
              <w:rPr>
                <w:sz w:val="22"/>
              </w:rPr>
              <w:t>R$ 737,16</w:t>
            </w:r>
          </w:p>
        </w:tc>
        <w:tc>
          <w:tcPr>
            <w:tcW w:w="1703" w:type="dxa"/>
          </w:tcPr>
          <w:p>
            <w:pPr>
              <w:pStyle w:val="TableParagraph"/>
              <w:ind w:right="191"/>
              <w:rPr>
                <w:sz w:val="22"/>
              </w:rPr>
            </w:pPr>
            <w:r>
              <w:rPr>
                <w:sz w:val="22"/>
              </w:rPr>
              <w:t>R$ 409,53</w:t>
            </w:r>
          </w:p>
        </w:tc>
      </w:tr>
      <w:tr>
        <w:trPr>
          <w:trHeight w:val="381" w:hRule="atLeast"/>
        </w:trPr>
        <w:tc>
          <w:tcPr>
            <w:tcW w:w="1507" w:type="dxa"/>
          </w:tcPr>
          <w:p>
            <w:pPr>
              <w:pStyle w:val="TableParagraph"/>
              <w:spacing w:before="2"/>
              <w:ind w:left="115" w:right="103"/>
              <w:rPr>
                <w:sz w:val="22"/>
              </w:rPr>
            </w:pPr>
            <w:r>
              <w:rPr>
                <w:sz w:val="22"/>
              </w:rPr>
              <w:t>39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43</w:t>
            </w:r>
          </w:p>
        </w:tc>
        <w:tc>
          <w:tcPr>
            <w:tcW w:w="1472" w:type="dxa"/>
          </w:tcPr>
          <w:p>
            <w:pPr>
              <w:pStyle w:val="TableParagraph"/>
              <w:spacing w:before="2"/>
              <w:ind w:left="116" w:right="105"/>
              <w:rPr>
                <w:sz w:val="22"/>
              </w:rPr>
            </w:pPr>
            <w:r>
              <w:rPr>
                <w:sz w:val="22"/>
              </w:rPr>
              <w:t>R$ 804,23</w:t>
            </w:r>
          </w:p>
        </w:tc>
        <w:tc>
          <w:tcPr>
            <w:tcW w:w="1702" w:type="dxa"/>
          </w:tcPr>
          <w:p>
            <w:pPr>
              <w:pStyle w:val="TableParagraph"/>
              <w:spacing w:before="2"/>
              <w:ind w:left="230" w:right="219"/>
              <w:rPr>
                <w:sz w:val="22"/>
              </w:rPr>
            </w:pPr>
            <w:r>
              <w:rPr>
                <w:sz w:val="22"/>
              </w:rPr>
              <w:t>R$ 933,15</w:t>
            </w:r>
          </w:p>
        </w:tc>
        <w:tc>
          <w:tcPr>
            <w:tcW w:w="1558" w:type="dxa"/>
          </w:tcPr>
          <w:p>
            <w:pPr>
              <w:pStyle w:val="TableParagraph"/>
              <w:spacing w:before="2"/>
              <w:ind w:left="156"/>
              <w:rPr>
                <w:sz w:val="22"/>
              </w:rPr>
            </w:pPr>
            <w:r>
              <w:rPr>
                <w:sz w:val="22"/>
              </w:rPr>
              <w:t>R$ 839,84</w:t>
            </w:r>
          </w:p>
        </w:tc>
        <w:tc>
          <w:tcPr>
            <w:tcW w:w="1703" w:type="dxa"/>
          </w:tcPr>
          <w:p>
            <w:pPr>
              <w:pStyle w:val="TableParagraph"/>
              <w:spacing w:before="2"/>
              <w:ind w:right="191"/>
              <w:rPr>
                <w:sz w:val="22"/>
              </w:rPr>
            </w:pPr>
            <w:r>
              <w:rPr>
                <w:sz w:val="22"/>
              </w:rPr>
              <w:t>R$ 466,58</w:t>
            </w:r>
          </w:p>
        </w:tc>
      </w:tr>
      <w:tr>
        <w:trPr>
          <w:trHeight w:val="378" w:hRule="atLeast"/>
        </w:trPr>
        <w:tc>
          <w:tcPr>
            <w:tcW w:w="1507" w:type="dxa"/>
          </w:tcPr>
          <w:p>
            <w:pPr>
              <w:pStyle w:val="TableParagraph"/>
              <w:ind w:left="115" w:right="103"/>
              <w:rPr>
                <w:sz w:val="22"/>
              </w:rPr>
            </w:pPr>
            <w:r>
              <w:rPr>
                <w:sz w:val="22"/>
              </w:rPr>
              <w:t>44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48</w:t>
            </w:r>
          </w:p>
        </w:tc>
        <w:tc>
          <w:tcPr>
            <w:tcW w:w="1472" w:type="dxa"/>
          </w:tcPr>
          <w:p>
            <w:pPr>
              <w:pStyle w:val="TableParagraph"/>
              <w:ind w:left="116" w:right="105"/>
              <w:rPr>
                <w:sz w:val="22"/>
              </w:rPr>
            </w:pPr>
            <w:r>
              <w:rPr>
                <w:sz w:val="22"/>
              </w:rPr>
              <w:t>R$ 976,03</w:t>
            </w:r>
          </w:p>
        </w:tc>
        <w:tc>
          <w:tcPr>
            <w:tcW w:w="1702" w:type="dxa"/>
          </w:tcPr>
          <w:p>
            <w:pPr>
              <w:pStyle w:val="TableParagraph"/>
              <w:ind w:left="230" w:right="221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1.132,49</w:t>
            </w:r>
          </w:p>
        </w:tc>
        <w:tc>
          <w:tcPr>
            <w:tcW w:w="1558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R$ 1.019,24</w:t>
            </w:r>
          </w:p>
        </w:tc>
        <w:tc>
          <w:tcPr>
            <w:tcW w:w="1703" w:type="dxa"/>
          </w:tcPr>
          <w:p>
            <w:pPr>
              <w:pStyle w:val="TableParagraph"/>
              <w:ind w:right="191"/>
              <w:rPr>
                <w:sz w:val="22"/>
              </w:rPr>
            </w:pPr>
            <w:r>
              <w:rPr>
                <w:sz w:val="22"/>
              </w:rPr>
              <w:t>R$ 566,25</w:t>
            </w:r>
          </w:p>
        </w:tc>
      </w:tr>
      <w:tr>
        <w:trPr>
          <w:trHeight w:val="378" w:hRule="atLeast"/>
        </w:trPr>
        <w:tc>
          <w:tcPr>
            <w:tcW w:w="1507" w:type="dxa"/>
          </w:tcPr>
          <w:p>
            <w:pPr>
              <w:pStyle w:val="TableParagraph"/>
              <w:ind w:left="115" w:right="103"/>
              <w:rPr>
                <w:sz w:val="22"/>
              </w:rPr>
            </w:pPr>
            <w:r>
              <w:rPr>
                <w:sz w:val="22"/>
              </w:rPr>
              <w:t>49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53</w:t>
            </w:r>
          </w:p>
        </w:tc>
        <w:tc>
          <w:tcPr>
            <w:tcW w:w="1472" w:type="dxa"/>
          </w:tcPr>
          <w:p>
            <w:pPr>
              <w:pStyle w:val="TableParagraph"/>
              <w:ind w:left="116" w:right="107"/>
              <w:rPr>
                <w:sz w:val="22"/>
              </w:rPr>
            </w:pPr>
            <w:r>
              <w:rPr>
                <w:sz w:val="22"/>
              </w:rPr>
              <w:t>R$ 1.116,87</w:t>
            </w:r>
          </w:p>
        </w:tc>
        <w:tc>
          <w:tcPr>
            <w:tcW w:w="1702" w:type="dxa"/>
          </w:tcPr>
          <w:p>
            <w:pPr>
              <w:pStyle w:val="TableParagraph"/>
              <w:ind w:left="230" w:right="221"/>
              <w:rPr>
                <w:sz w:val="22"/>
              </w:rPr>
            </w:pPr>
            <w:r>
              <w:rPr>
                <w:sz w:val="22"/>
              </w:rPr>
              <w:t>R$ 1.295,90</w:t>
            </w:r>
          </w:p>
        </w:tc>
        <w:tc>
          <w:tcPr>
            <w:tcW w:w="1558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R$ 1.166,31</w:t>
            </w:r>
          </w:p>
        </w:tc>
        <w:tc>
          <w:tcPr>
            <w:tcW w:w="1703" w:type="dxa"/>
          </w:tcPr>
          <w:p>
            <w:pPr>
              <w:pStyle w:val="TableParagraph"/>
              <w:ind w:right="191"/>
              <w:rPr>
                <w:sz w:val="22"/>
              </w:rPr>
            </w:pPr>
            <w:r>
              <w:rPr>
                <w:sz w:val="22"/>
              </w:rPr>
              <w:t>R$ 647,95</w:t>
            </w:r>
          </w:p>
        </w:tc>
      </w:tr>
      <w:tr>
        <w:trPr>
          <w:trHeight w:val="381" w:hRule="atLeast"/>
        </w:trPr>
        <w:tc>
          <w:tcPr>
            <w:tcW w:w="1507" w:type="dxa"/>
          </w:tcPr>
          <w:p>
            <w:pPr>
              <w:pStyle w:val="TableParagraph"/>
              <w:ind w:left="115" w:right="103"/>
              <w:rPr>
                <w:sz w:val="22"/>
              </w:rPr>
            </w:pPr>
            <w:r>
              <w:rPr>
                <w:sz w:val="22"/>
              </w:rPr>
              <w:t>54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58</w:t>
            </w:r>
          </w:p>
        </w:tc>
        <w:tc>
          <w:tcPr>
            <w:tcW w:w="1472" w:type="dxa"/>
          </w:tcPr>
          <w:p>
            <w:pPr>
              <w:pStyle w:val="TableParagraph"/>
              <w:ind w:left="116" w:right="107"/>
              <w:rPr>
                <w:sz w:val="22"/>
              </w:rPr>
            </w:pPr>
            <w:r>
              <w:rPr>
                <w:sz w:val="22"/>
              </w:rPr>
              <w:t>R$ 1.351,39</w:t>
            </w:r>
          </w:p>
        </w:tc>
        <w:tc>
          <w:tcPr>
            <w:tcW w:w="1702" w:type="dxa"/>
          </w:tcPr>
          <w:p>
            <w:pPr>
              <w:pStyle w:val="TableParagraph"/>
              <w:ind w:left="230" w:right="221"/>
              <w:rPr>
                <w:sz w:val="22"/>
              </w:rPr>
            </w:pPr>
            <w:r>
              <w:rPr>
                <w:sz w:val="22"/>
              </w:rPr>
              <w:t>R$ 1.568,01</w:t>
            </w:r>
          </w:p>
        </w:tc>
        <w:tc>
          <w:tcPr>
            <w:tcW w:w="1558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R$ 1.411,21</w:t>
            </w:r>
          </w:p>
        </w:tc>
        <w:tc>
          <w:tcPr>
            <w:tcW w:w="1703" w:type="dxa"/>
          </w:tcPr>
          <w:p>
            <w:pPr>
              <w:pStyle w:val="TableParagraph"/>
              <w:ind w:right="191"/>
              <w:rPr>
                <w:sz w:val="22"/>
              </w:rPr>
            </w:pPr>
            <w:r>
              <w:rPr>
                <w:sz w:val="22"/>
              </w:rPr>
              <w:t>R$ 784,01</w:t>
            </w:r>
          </w:p>
        </w:tc>
      </w:tr>
      <w:tr>
        <w:trPr>
          <w:trHeight w:val="379" w:hRule="atLeast"/>
        </w:trPr>
        <w:tc>
          <w:tcPr>
            <w:tcW w:w="1507" w:type="dxa"/>
          </w:tcPr>
          <w:p>
            <w:pPr>
              <w:pStyle w:val="TableParagraph"/>
              <w:ind w:left="115" w:right="103"/>
              <w:rPr>
                <w:sz w:val="22"/>
              </w:rPr>
            </w:pPr>
            <w:r>
              <w:rPr>
                <w:sz w:val="22"/>
              </w:rPr>
              <w:t>Acima de 58</w:t>
            </w:r>
          </w:p>
        </w:tc>
        <w:tc>
          <w:tcPr>
            <w:tcW w:w="1472" w:type="dxa"/>
          </w:tcPr>
          <w:p>
            <w:pPr>
              <w:pStyle w:val="TableParagraph"/>
              <w:ind w:left="116" w:right="107"/>
              <w:rPr>
                <w:sz w:val="22"/>
              </w:rPr>
            </w:pPr>
            <w:r>
              <w:rPr>
                <w:sz w:val="22"/>
              </w:rPr>
              <w:t>R$ 2.343,63</w:t>
            </w:r>
          </w:p>
        </w:tc>
        <w:tc>
          <w:tcPr>
            <w:tcW w:w="1702" w:type="dxa"/>
          </w:tcPr>
          <w:p>
            <w:pPr>
              <w:pStyle w:val="TableParagraph"/>
              <w:ind w:left="230" w:right="221"/>
              <w:rPr>
                <w:sz w:val="22"/>
              </w:rPr>
            </w:pPr>
            <w:r>
              <w:rPr>
                <w:sz w:val="22"/>
              </w:rPr>
              <w:t>R$ 2.719,31</w:t>
            </w:r>
          </w:p>
        </w:tc>
        <w:tc>
          <w:tcPr>
            <w:tcW w:w="1558" w:type="dxa"/>
          </w:tcPr>
          <w:p>
            <w:pPr>
              <w:pStyle w:val="TableParagraph"/>
              <w:ind w:left="159"/>
              <w:rPr>
                <w:sz w:val="22"/>
              </w:rPr>
            </w:pPr>
            <w:r>
              <w:rPr>
                <w:sz w:val="22"/>
              </w:rPr>
              <w:t>R$ 2.447,38</w:t>
            </w:r>
          </w:p>
        </w:tc>
        <w:tc>
          <w:tcPr>
            <w:tcW w:w="1703" w:type="dxa"/>
          </w:tcPr>
          <w:p>
            <w:pPr>
              <w:pStyle w:val="TableParagraph"/>
              <w:ind w:right="193"/>
              <w:rPr>
                <w:sz w:val="22"/>
              </w:rPr>
            </w:pPr>
            <w:r>
              <w:rPr>
                <w:sz w:val="22"/>
              </w:rPr>
              <w:t>R$ 1.359,66</w:t>
            </w:r>
          </w:p>
        </w:tc>
      </w:tr>
    </w:tbl>
    <w:p>
      <w:pPr>
        <w:pStyle w:val="BodyText"/>
        <w:spacing w:before="11"/>
        <w:rPr>
          <w:sz w:val="32"/>
        </w:rPr>
      </w:pPr>
    </w:p>
    <w:p>
      <w:pPr>
        <w:pStyle w:val="BodyText"/>
        <w:ind w:left="102"/>
      </w:pPr>
      <w:r>
        <w:rPr/>
        <w:t>Art.</w:t>
      </w:r>
      <w:r>
        <w:rPr>
          <w:spacing w:val="-1"/>
        </w:rPr>
        <w:t> </w:t>
      </w:r>
      <w:r>
        <w:rPr/>
        <w:t>5º.</w:t>
      </w:r>
      <w:r>
        <w:rPr>
          <w:spacing w:val="-2"/>
        </w:rPr>
        <w:t> </w:t>
      </w:r>
      <w:r>
        <w:rPr/>
        <w:t>A presente</w:t>
      </w:r>
      <w:r>
        <w:rPr>
          <w:spacing w:val="-3"/>
        </w:rPr>
        <w:t> </w:t>
      </w:r>
      <w:r>
        <w:rPr/>
        <w:t>Portaria entra</w:t>
      </w:r>
      <w:r>
        <w:rPr>
          <w:spacing w:val="-3"/>
        </w:rPr>
        <w:t> </w:t>
      </w:r>
      <w:r>
        <w:rPr/>
        <w:t>em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na</w:t>
      </w:r>
      <w:r>
        <w:rPr>
          <w:spacing w:val="3"/>
        </w:rPr>
        <w:t> </w:t>
      </w:r>
      <w:r>
        <w:rPr/>
        <w:t>data</w:t>
      </w:r>
      <w:r>
        <w:rPr>
          <w:spacing w:val="-3"/>
        </w:rPr>
        <w:t> </w:t>
      </w:r>
      <w:r>
        <w:rPr/>
        <w:t>da sua</w:t>
      </w:r>
      <w:r>
        <w:rPr>
          <w:spacing w:val="-3"/>
        </w:rPr>
        <w:t> </w:t>
      </w:r>
      <w:r>
        <w:rPr/>
        <w:t>assinatura.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996" w:footer="745" w:top="1960" w:bottom="940" w:left="1600" w:right="740"/>
        </w:sectPr>
      </w:pPr>
    </w:p>
    <w:p>
      <w:pPr>
        <w:pStyle w:val="BodyText"/>
        <w:spacing w:before="94"/>
        <w:ind w:left="102"/>
      </w:pPr>
      <w:r>
        <w:rPr/>
        <w:t>Dê-se</w:t>
      </w:r>
      <w:r>
        <w:rPr>
          <w:spacing w:val="-1"/>
        </w:rPr>
        <w:t> </w:t>
      </w:r>
      <w:r>
        <w:rPr/>
        <w:t>ciência e</w:t>
      </w:r>
      <w:r>
        <w:rPr>
          <w:spacing w:val="-3"/>
        </w:rPr>
        <w:t> </w:t>
      </w:r>
      <w:r>
        <w:rPr/>
        <w:t>cumpra-se.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97"/>
        <w:ind w:left="2252"/>
      </w:pPr>
      <w:r>
        <w:rPr/>
        <w:drawing>
          <wp:anchor distT="0" distB="0" distL="0" distR="0" allowOverlap="1" layoutInCell="1" locked="0" behindDoc="1" simplePos="0" relativeHeight="487450112">
            <wp:simplePos x="0" y="0"/>
            <wp:positionH relativeFrom="page">
              <wp:posOffset>3200400</wp:posOffset>
            </wp:positionH>
            <wp:positionV relativeFrom="paragraph">
              <wp:posOffset>334491</wp:posOffset>
            </wp:positionV>
            <wp:extent cx="1663462" cy="889634"/>
            <wp:effectExtent l="0" t="0" r="0" b="0"/>
            <wp:wrapNone/>
            <wp:docPr id="3" name="image2.jpeg" descr="Uma imagem contendo cabide, traçado  Descrição gerad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462" cy="889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</w:t>
      </w:r>
      <w:r>
        <w:rPr>
          <w:spacing w:val="-1"/>
        </w:rPr>
        <w:t> </w:t>
      </w:r>
      <w:r>
        <w:rPr/>
        <w:t>09</w:t>
      </w:r>
      <w:r>
        <w:rPr>
          <w:spacing w:val="-3"/>
        </w:rPr>
        <w:t> </w:t>
      </w:r>
      <w:r>
        <w:rPr/>
        <w:t>de outubro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6"/>
        <w:ind w:left="102" w:right="3613" w:firstLine="0"/>
        <w:jc w:val="center"/>
        <w:rPr>
          <w:sz w:val="22"/>
        </w:rPr>
      </w:pPr>
      <w:r>
        <w:rPr>
          <w:rFonts w:ascii="Arial"/>
          <w:b/>
          <w:sz w:val="22"/>
        </w:rPr>
        <w:t>Jeferson R. M. Salazar</w:t>
      </w:r>
      <w:r>
        <w:rPr>
          <w:rFonts w:ascii="Arial"/>
          <w:b/>
          <w:spacing w:val="-59"/>
          <w:sz w:val="22"/>
        </w:rPr>
        <w:t> </w:t>
      </w:r>
      <w:r>
        <w:rPr>
          <w:sz w:val="22"/>
        </w:rPr>
        <w:t>Arquiteto e Urbanista</w:t>
      </w:r>
      <w:r>
        <w:rPr>
          <w:spacing w:val="1"/>
          <w:sz w:val="22"/>
        </w:rPr>
        <w:t> </w:t>
      </w:r>
      <w:r>
        <w:rPr>
          <w:sz w:val="22"/>
        </w:rPr>
        <w:t>Presidente do</w:t>
      </w:r>
      <w:r>
        <w:rPr>
          <w:spacing w:val="-3"/>
          <w:sz w:val="22"/>
        </w:rPr>
        <w:t> </w:t>
      </w:r>
      <w:r>
        <w:rPr>
          <w:sz w:val="22"/>
        </w:rPr>
        <w:t>CAU/RJ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1960" w:bottom="940" w:left="1600" w:right="740"/>
          <w:cols w:num="2" w:equalWidth="0">
            <w:col w:w="2823" w:space="686"/>
            <w:col w:w="606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before="0"/>
        <w:ind w:left="253" w:right="570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line="228" w:lineRule="exact" w:before="0"/>
        <w:ind w:left="253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3916-3925</w:t>
      </w:r>
    </w:p>
    <w:sectPr>
      <w:type w:val="continuous"/>
      <w:pgSz w:w="11910" w:h="16840"/>
      <w:pgMar w:top="1960" w:bottom="94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65856" from="89.25pt,791.151978pt" to="546.75pt,791.151978pt" stroked="true" strokeweight="1.25pt" strokecolor="#376c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64001pt;margin-top:794.46051pt;width:311.4pt;height:13.05pt;mso-position-horizontal-relative:page;mso-position-vertical-relative:page;z-index:-158653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0112">
          <wp:simplePos x="0" y="0"/>
          <wp:positionH relativeFrom="page">
            <wp:posOffset>1116614</wp:posOffset>
          </wp:positionH>
          <wp:positionV relativeFrom="page">
            <wp:posOffset>632380</wp:posOffset>
          </wp:positionV>
          <wp:extent cx="5873275" cy="61936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3275" cy="619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200" w:right="150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dc:title>Reembolso de Despesas</dc:title>
  <dcterms:created xsi:type="dcterms:W3CDTF">2022-05-11T20:04:35Z</dcterms:created>
  <dcterms:modified xsi:type="dcterms:W3CDTF">2022-05-11T20:04:35Z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2022-05-11T00:00:00Z</vt:filetime>
  </property>
</Properties>
</file>