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94959" cy="621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95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Heading1"/>
        <w:spacing w:before="93"/>
        <w:ind w:left="1102" w:right="1104"/>
        <w:jc w:val="center"/>
      </w:pPr>
      <w:r>
        <w:rPr/>
        <w:t>PORTARIA</w:t>
      </w:r>
      <w:r>
        <w:rPr>
          <w:spacing w:val="-3"/>
        </w:rPr>
        <w:t> </w:t>
      </w:r>
      <w:r>
        <w:rPr/>
        <w:t>NORMATIVA Nº 003/2020</w:t>
      </w:r>
      <w:r>
        <w:rPr>
          <w:spacing w:val="-4"/>
        </w:rPr>
        <w:t> </w:t>
      </w:r>
      <w:r>
        <w:rPr/>
        <w:t>- CAU/RJ, 25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 de</w:t>
      </w:r>
      <w:r>
        <w:rPr>
          <w:spacing w:val="-5"/>
        </w:rPr>
        <w:t> </w:t>
      </w:r>
      <w:r>
        <w:rPr/>
        <w:t>2020.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632" w:right="102"/>
        <w:jc w:val="both"/>
      </w:pPr>
      <w:r>
        <w:rPr/>
        <w:t>Esta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prazos em processos administrativo no</w:t>
      </w:r>
      <w:r>
        <w:rPr>
          <w:spacing w:val="-59"/>
        </w:rPr>
        <w:t> </w:t>
      </w:r>
      <w:r>
        <w:rPr/>
        <w:t>âmbito do CAU/RJ em continuidade às</w:t>
      </w:r>
      <w:r>
        <w:rPr>
          <w:spacing w:val="-59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contingenciais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COVID-19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2" w:right="104"/>
        <w:jc w:val="both"/>
      </w:pPr>
      <w:r>
        <w:rPr/>
        <w:t>Considerando as portarias 001/2020 e 002/2020 que estipulam medidas de contingência em</w:t>
      </w:r>
      <w:r>
        <w:rPr>
          <w:spacing w:val="1"/>
        </w:rPr>
        <w:t> </w:t>
      </w:r>
      <w:r>
        <w:rPr/>
        <w:t>virtude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pandemia causada pelo vírus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3"/>
        <w:jc w:val="both"/>
      </w:pPr>
      <w:r>
        <w:rPr/>
        <w:t>Considerando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foi</w:t>
      </w:r>
      <w:r>
        <w:rPr>
          <w:spacing w:val="15"/>
        </w:rPr>
        <w:t> </w:t>
      </w:r>
      <w:r>
        <w:rPr/>
        <w:t>emitida</w:t>
      </w:r>
      <w:r>
        <w:rPr>
          <w:spacing w:val="16"/>
        </w:rPr>
        <w:t> </w:t>
      </w:r>
      <w:r>
        <w:rPr/>
        <w:t>pelo</w:t>
      </w:r>
      <w:r>
        <w:rPr>
          <w:spacing w:val="16"/>
        </w:rPr>
        <w:t> </w:t>
      </w:r>
      <w:r>
        <w:rPr/>
        <w:t>Poder</w:t>
      </w:r>
      <w:r>
        <w:rPr>
          <w:spacing w:val="17"/>
        </w:rPr>
        <w:t> </w:t>
      </w:r>
      <w:r>
        <w:rPr/>
        <w:t>Executivo</w:t>
      </w:r>
      <w:r>
        <w:rPr>
          <w:spacing w:val="15"/>
        </w:rPr>
        <w:t> </w:t>
      </w:r>
      <w:r>
        <w:rPr/>
        <w:t>Federal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Medida</w:t>
      </w:r>
      <w:r>
        <w:rPr>
          <w:spacing w:val="16"/>
        </w:rPr>
        <w:t> </w:t>
      </w:r>
      <w:r>
        <w:rPr/>
        <w:t>Provisória</w:t>
      </w:r>
      <w:r>
        <w:rPr>
          <w:spacing w:val="16"/>
        </w:rPr>
        <w:t> </w:t>
      </w:r>
      <w:r>
        <w:rPr/>
        <w:t>nº</w:t>
      </w:r>
      <w:r>
        <w:rPr>
          <w:spacing w:val="17"/>
        </w:rPr>
        <w:t> </w:t>
      </w:r>
      <w:r>
        <w:rPr/>
        <w:t>928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23</w:t>
      </w:r>
      <w:r>
        <w:rPr>
          <w:spacing w:val="-58"/>
        </w:rPr>
        <w:t> </w:t>
      </w:r>
      <w:r>
        <w:rPr/>
        <w:t>de Março de 2020 que, dentre outras medidas, suspende os prazos processuais nos processos</w:t>
      </w:r>
      <w:r>
        <w:rPr>
          <w:spacing w:val="-59"/>
        </w:rPr>
        <w:t> </w:t>
      </w:r>
      <w:r>
        <w:rPr/>
        <w:t>administrativos enquanto perdurar o estado de calamidade em virtude da pandemia pelo vírus</w:t>
      </w:r>
      <w:r>
        <w:rPr>
          <w:spacing w:val="1"/>
        </w:rPr>
        <w:t> </w:t>
      </w:r>
      <w:r>
        <w:rPr/>
        <w:t>COVID-19</w:t>
      </w:r>
    </w:p>
    <w:p>
      <w:pPr>
        <w:pStyle w:val="BodyText"/>
      </w:pPr>
    </w:p>
    <w:p>
      <w:pPr>
        <w:pStyle w:val="Heading1"/>
      </w:pPr>
      <w:r>
        <w:rPr/>
        <w:t>RESOLVE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02"/>
        <w:jc w:val="both"/>
      </w:pPr>
      <w:r>
        <w:rPr/>
        <w:t>Art. 1º. Ficam suspensos os prazos processuais em processos administrativos internos do</w:t>
      </w:r>
      <w:r>
        <w:rPr>
          <w:spacing w:val="1"/>
        </w:rPr>
        <w:t> </w:t>
      </w:r>
      <w:r>
        <w:rPr/>
        <w:t>CAU/RJ enquanto perdurar o estado de calamidade de que trata o Decreto Legislativo nº 6, 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1"/>
      </w:pPr>
    </w:p>
    <w:p>
      <w:pPr>
        <w:pStyle w:val="BodyText"/>
        <w:ind w:left="102" w:right="102"/>
        <w:jc w:val="both"/>
      </w:pPr>
      <w:r>
        <w:rPr/>
        <w:t>Art.</w:t>
      </w:r>
      <w:r>
        <w:rPr>
          <w:spacing w:val="1"/>
        </w:rPr>
        <w:t> </w:t>
      </w:r>
      <w:r>
        <w:rPr/>
        <w:t>2º.</w:t>
      </w:r>
      <w:r>
        <w:rPr>
          <w:spacing w:val="1"/>
        </w:rPr>
        <w:t> </w:t>
      </w:r>
      <w:r>
        <w:rPr/>
        <w:t>Ficam</w:t>
      </w:r>
      <w:r>
        <w:rPr>
          <w:spacing w:val="1"/>
        </w:rPr>
        <w:t> </w:t>
      </w:r>
      <w:r>
        <w:rPr/>
        <w:t>suspensos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processuais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procedimentos sob os cuidados da Comissão de</w:t>
      </w:r>
      <w:r>
        <w:rPr>
          <w:spacing w:val="1"/>
        </w:rPr>
        <w:t> </w:t>
      </w:r>
      <w:r>
        <w:rPr/>
        <w:t>Ensino e Formação, Comissão de Exercício</w:t>
      </w:r>
      <w:r>
        <w:rPr>
          <w:spacing w:val="1"/>
        </w:rPr>
        <w:t> </w:t>
      </w:r>
      <w:r>
        <w:rPr/>
        <w:t>Profissional, Comissão de Ética e Disciplina e quaisquer outros procedimentos e/ou processos</w:t>
      </w:r>
      <w:r>
        <w:rPr>
          <w:spacing w:val="1"/>
        </w:rPr>
        <w:t> </w:t>
      </w:r>
      <w:r>
        <w:rPr/>
        <w:t>administrativos em trâmite perante o CAU/RJ, incluindo os que tratam de infrações éticas e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de atos</w:t>
      </w:r>
      <w:r>
        <w:rPr>
          <w:spacing w:val="1"/>
        </w:rPr>
        <w:t> </w:t>
      </w:r>
      <w:r>
        <w:rPr/>
        <w:t>de fiscalização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perdurar</w:t>
      </w:r>
      <w:r>
        <w:rPr>
          <w:spacing w:val="1"/>
        </w:rPr>
        <w:t> </w:t>
      </w:r>
      <w:r>
        <w:rPr/>
        <w:t>o estado de</w:t>
      </w:r>
      <w:r>
        <w:rPr>
          <w:spacing w:val="1"/>
        </w:rPr>
        <w:t> </w:t>
      </w:r>
      <w:r>
        <w:rPr/>
        <w:t>calamidade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trata</w:t>
      </w:r>
      <w:r>
        <w:rPr>
          <w:spacing w:val="-4"/>
        </w:rPr>
        <w:t> </w:t>
      </w:r>
      <w:r>
        <w:rPr/>
        <w:t>o Decreto Legislativo nº</w:t>
      </w:r>
      <w:r>
        <w:rPr>
          <w:spacing w:val="-3"/>
        </w:rPr>
        <w:t> </w:t>
      </w:r>
      <w:r>
        <w:rPr/>
        <w:t>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1"/>
      </w:pPr>
    </w:p>
    <w:p>
      <w:pPr>
        <w:pStyle w:val="BodyText"/>
        <w:ind w:left="102" w:right="105"/>
        <w:jc w:val="both"/>
      </w:pPr>
      <w:r>
        <w:rPr/>
        <w:t>Art.</w:t>
      </w:r>
      <w:r>
        <w:rPr>
          <w:spacing w:val="1"/>
        </w:rPr>
        <w:t> </w:t>
      </w:r>
      <w:r>
        <w:rPr/>
        <w:t>3º.</w:t>
      </w:r>
      <w:r>
        <w:rPr>
          <w:spacing w:val="1"/>
        </w:rPr>
        <w:t> </w:t>
      </w:r>
      <w:r>
        <w:rPr/>
        <w:t>Fica suspenso o</w:t>
      </w:r>
      <w:r>
        <w:rPr>
          <w:spacing w:val="1"/>
        </w:rPr>
        <w:t> </w:t>
      </w:r>
      <w:r>
        <w:rPr/>
        <w:t>transcurso dos prazos</w:t>
      </w:r>
      <w:r>
        <w:rPr>
          <w:spacing w:val="1"/>
        </w:rPr>
        <w:t> </w:t>
      </w:r>
      <w:r>
        <w:rPr/>
        <w:t>prescricionais</w:t>
      </w:r>
      <w:r>
        <w:rPr>
          <w:spacing w:val="1"/>
        </w:rPr>
        <w:t> </w:t>
      </w:r>
      <w:r>
        <w:rPr/>
        <w:t>para aplicação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 de competência deste Conselho enquanto perdurar o estado de calamidade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trata</w:t>
      </w:r>
      <w:r>
        <w:rPr>
          <w:spacing w:val="-2"/>
        </w:rPr>
        <w:t> </w:t>
      </w:r>
      <w:r>
        <w:rPr/>
        <w:t>o Decreto</w:t>
      </w:r>
      <w:r>
        <w:rPr>
          <w:spacing w:val="-2"/>
        </w:rPr>
        <w:t> </w:t>
      </w:r>
      <w:r>
        <w:rPr/>
        <w:t>Legislativo nº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de 2020.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 w:before="1"/>
        <w:ind w:left="102" w:right="2738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3324295</wp:posOffset>
            </wp:positionH>
            <wp:positionV relativeFrom="paragraph">
              <wp:posOffset>728522</wp:posOffset>
            </wp:positionV>
            <wp:extent cx="1640861" cy="81153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861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4º. A presente portaria entra em vigor na data da sua assinatura.</w:t>
      </w:r>
      <w:r>
        <w:rPr>
          <w:spacing w:val="-59"/>
        </w:rPr>
        <w:t> </w:t>
      </w:r>
      <w:r>
        <w:rPr/>
        <w:t>Rio de Janeiro,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3611" w:right="3613" w:firstLine="0"/>
        <w:jc w:val="center"/>
        <w:rPr>
          <w:sz w:val="22"/>
        </w:rPr>
      </w:pPr>
      <w:r>
        <w:rPr>
          <w:rFonts w:ascii="Arial"/>
          <w:b/>
          <w:sz w:val="22"/>
        </w:rPr>
        <w:t>Jeferson R. M. Salazar</w:t>
      </w:r>
      <w:r>
        <w:rPr>
          <w:rFonts w:ascii="Arial"/>
          <w:b/>
          <w:spacing w:val="-59"/>
          <w:sz w:val="22"/>
        </w:rPr>
        <w:t> </w:t>
      </w:r>
      <w:r>
        <w:rPr>
          <w:sz w:val="22"/>
        </w:rPr>
        <w:t>Arquiteto e Urbanista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CAU/RJ</w:t>
      </w:r>
    </w:p>
    <w:p>
      <w:pPr>
        <w:pStyle w:val="BodyText"/>
        <w:spacing w:before="9"/>
        <w:rPr>
          <w:sz w:val="35"/>
        </w:rPr>
      </w:pPr>
    </w:p>
    <w:p>
      <w:pPr>
        <w:spacing w:before="1"/>
        <w:ind w:left="102" w:right="0" w:firstLine="0"/>
        <w:jc w:val="left"/>
        <w:rPr>
          <w:sz w:val="12"/>
        </w:rPr>
      </w:pPr>
      <w:r>
        <w:rPr>
          <w:sz w:val="12"/>
        </w:rPr>
        <w:t>VMC_AJUR</w:t>
      </w:r>
    </w:p>
    <w:p>
      <w:pPr>
        <w:pStyle w:val="BodyText"/>
        <w:spacing w:before="2"/>
        <w:rPr>
          <w:sz w:val="13"/>
        </w:rPr>
      </w:pPr>
    </w:p>
    <w:p>
      <w:pPr>
        <w:spacing w:before="1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pStyle w:val="BodyText"/>
        <w:spacing w:before="9"/>
        <w:rPr>
          <w:rFonts w:ascii="Times New Roman"/>
          <w:sz w:val="8"/>
        </w:rPr>
      </w:pPr>
      <w:r>
        <w:rPr/>
        <w:pict>
          <v:shape style="position:absolute;margin-left:89.25pt;margin-top:7.68694pt;width:457.5pt;height:.1pt;mso-position-horizontal-relative:page;mso-position-vertical-relative:paragraph;z-index:-15728128;mso-wrap-distance-left:0;mso-wrap-distance-right:0" coordorigin="1785,154" coordsize="9150,0" path="m1785,154l10935,154e" filled="false" stroked="true" strokeweight="1.25pt" strokecolor="#376c70">
            <v:path arrowok="t"/>
            <v:stroke dashstyle="solid"/>
            <w10:wrap type="topAndBottom"/>
          </v:shape>
        </w:pict>
      </w:r>
    </w:p>
    <w:p>
      <w:pPr>
        <w:spacing w:before="35"/>
        <w:ind w:left="253" w:right="0" w:firstLine="0"/>
        <w:jc w:val="left"/>
        <w:rPr>
          <w:rFonts w:ascii="Times New Roman"/>
          <w:sz w:val="20"/>
        </w:rPr>
      </w:pPr>
      <w:hyperlink r:id="rId7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1"/>
            <w:sz w:val="20"/>
          </w:rPr>
          <w:t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4"/>
          <w:sz w:val="20"/>
        </w:rPr>
        <w:t> </w:t>
      </w:r>
      <w:r>
        <w:rPr>
          <w:rFonts w:ascii="Times New Roman"/>
          <w:color w:val="376C70"/>
          <w:sz w:val="20"/>
        </w:rPr>
        <w:t>Urbanismo do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Janeiro</w:t>
      </w:r>
    </w:p>
    <w:sectPr>
      <w:type w:val="continuous"/>
      <w:pgSz w:w="11910" w:h="16840"/>
      <w:pgMar w:top="9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caurj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2022-05-11T20:06:10Z</dcterms:created>
  <dcterms:modified xsi:type="dcterms:W3CDTF">2022-05-11T20:06:10Z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