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75pt;height:17.8pt;mso-position-horizontal-relative:page;mso-position-vertical-relative:paragraph;z-index:-15728640;mso-wrap-distance-left:0;mso-wrap-distance-right:0" coordorigin="1673,384" coordsize="9415,356">
            <v:rect style="position:absolute;left:1673;top:402;width:9415;height:317" filled="true" fillcolor="#f1f1f1" stroked="false">
              <v:fill type="solid"/>
            </v:rect>
            <v:shape style="position:absolute;left:1673;top:383;width:9415;height:356" coordorigin="1673,384" coordsize="9415,356" path="m11088,720l1673,720,1673,739,11088,739,11088,720xm11088,384l1673,384,1673,403,11088,403,11088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5;height:317" type="#_x0000_t202" filled="false" stroked="false">
              <v:textbox inset="0,0,0,0">
                <w:txbxContent>
                  <w:p>
                    <w:pPr>
                      <w:spacing w:before="19"/>
                      <w:ind w:left="2498" w:right="2498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028/2021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9"/>
        <w:ind w:left="850"/>
      </w:pPr>
      <w:r>
        <w:rPr/>
        <w:t>O</w:t>
      </w:r>
      <w:r>
        <w:rPr>
          <w:spacing w:val="8"/>
        </w:rPr>
        <w:t> </w:t>
      </w:r>
      <w:r>
        <w:rPr/>
        <w:t>PLENÁRIO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ARQUITETURA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URBANISMO</w:t>
      </w:r>
      <w:r>
        <w:rPr>
          <w:spacing w:val="10"/>
        </w:rPr>
        <w:t> </w:t>
      </w:r>
      <w:r>
        <w:rPr/>
        <w:t>DO</w:t>
      </w:r>
      <w:r>
        <w:rPr>
          <w:spacing w:val="8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left="142" w:right="150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Ordinária nº</w:t>
      </w:r>
      <w:r>
        <w:rPr>
          <w:spacing w:val="1"/>
        </w:rPr>
        <w:t> </w:t>
      </w:r>
      <w:r>
        <w:rPr/>
        <w:t>008/2021,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remotamente,</w:t>
      </w:r>
      <w:r>
        <w:rPr>
          <w:spacing w:val="3"/>
        </w:rPr>
        <w:t> </w:t>
      </w:r>
      <w:r>
        <w:rPr/>
        <w:t>e: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93"/>
        <w:ind w:left="142" w:right="142" w:firstLine="707"/>
        <w:jc w:val="both"/>
      </w:pPr>
      <w:r>
        <w:rPr/>
        <w:t>Considerando recurso à decisão da CPFI apresentado pela Arquiteta Marfisa</w:t>
      </w:r>
      <w:r>
        <w:rPr>
          <w:spacing w:val="1"/>
        </w:rPr>
        <w:t> </w:t>
      </w:r>
      <w:r>
        <w:rPr/>
        <w:t>Rodrigues</w:t>
      </w:r>
      <w:r>
        <w:rPr>
          <w:spacing w:val="-1"/>
        </w:rPr>
        <w:t> </w:t>
      </w:r>
      <w:r>
        <w:rPr/>
        <w:t>Lavos Mello;</w:t>
      </w:r>
    </w:p>
    <w:p>
      <w:pPr>
        <w:pStyle w:val="BodyText"/>
        <w:spacing w:before="117"/>
        <w:ind w:left="142" w:right="146" w:firstLine="707"/>
        <w:jc w:val="both"/>
      </w:pPr>
      <w:r>
        <w:rPr/>
        <w:t>Considerando o que dispõe a Portaria Normativa n.002/2019, de 14/05/2019 do</w:t>
      </w:r>
      <w:r>
        <w:rPr>
          <w:spacing w:val="1"/>
        </w:rPr>
        <w:t> </w:t>
      </w:r>
      <w:r>
        <w:rPr/>
        <w:t>CAU/RJ, em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art.15,</w:t>
      </w:r>
      <w:r>
        <w:rPr>
          <w:spacing w:val="2"/>
        </w:rPr>
        <w:t> </w:t>
      </w:r>
      <w:r>
        <w:rPr/>
        <w:t>§3º,</w:t>
      </w:r>
    </w:p>
    <w:p>
      <w:pPr>
        <w:pStyle w:val="Heading1"/>
        <w:spacing w:before="216"/>
      </w:pPr>
      <w:r>
        <w:rPr/>
        <w:t>DELIBEROU: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2" w:right="141" w:firstLine="707"/>
        <w:jc w:val="both"/>
      </w:pPr>
      <w:r>
        <w:rPr/>
        <w:t>Acompanhar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relatório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voto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Conselheiro</w:t>
      </w:r>
      <w:r>
        <w:rPr>
          <w:spacing w:val="-9"/>
        </w:rPr>
        <w:t> </w:t>
      </w:r>
      <w:r>
        <w:rPr/>
        <w:t>Davide</w:t>
      </w:r>
      <w:r>
        <w:rPr>
          <w:spacing w:val="-9"/>
        </w:rPr>
        <w:t> </w:t>
      </w:r>
      <w:r>
        <w:rPr/>
        <w:t>Dulcetti</w:t>
      </w:r>
      <w:r>
        <w:rPr>
          <w:spacing w:val="-11"/>
        </w:rPr>
        <w:t> </w:t>
      </w:r>
      <w:r>
        <w:rPr/>
        <w:t>relativos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recurso</w:t>
      </w:r>
      <w:r>
        <w:rPr>
          <w:spacing w:val="-64"/>
        </w:rPr>
        <w:t> </w:t>
      </w:r>
      <w:r>
        <w:rPr/>
        <w:t>apresentado à decisão da CPFI, PAC 2901/2019 (protocolo 958142) pela manutenção</w:t>
      </w:r>
      <w:r>
        <w:rPr>
          <w:spacing w:val="1"/>
        </w:rPr>
        <w:t> </w:t>
      </w:r>
      <w:r>
        <w:rPr/>
        <w:t>da dívida, seguindo o voto da relatora Conselheira Leila Marques, o qual sugere, em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palavras,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anuidades de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cancelamento das anuidades 2017, 2018 e 2019, e que seja informado explicitamente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ofício à arquiteta.</w:t>
      </w:r>
    </w:p>
    <w:p>
      <w:pPr>
        <w:pStyle w:val="BodyText"/>
        <w:ind w:left="142" w:right="139" w:firstLine="707"/>
        <w:jc w:val="both"/>
      </w:pPr>
      <w:r>
        <w:rPr/>
        <w:t>Aprovado com 21 (vinte e um) votos favoráveis 00 (zero) contrarios 01 (uma)</w:t>
      </w:r>
      <w:r>
        <w:rPr>
          <w:spacing w:val="1"/>
        </w:rPr>
        <w:t> </w:t>
      </w:r>
      <w:r>
        <w:rPr/>
        <w:t>abstenção.</w:t>
      </w:r>
    </w:p>
    <w:p>
      <w:pPr>
        <w:pStyle w:val="BodyText"/>
      </w:pPr>
    </w:p>
    <w:p>
      <w:pPr>
        <w:pStyle w:val="BodyText"/>
        <w:ind w:left="850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960" w:bottom="280" w:left="1560" w:right="700"/>
        </w:sectPr>
      </w:pPr>
    </w:p>
    <w:p>
      <w:pPr>
        <w:pStyle w:val="Title"/>
        <w:spacing w:line="247" w:lineRule="auto"/>
      </w:pPr>
      <w:r>
        <w:rPr/>
        <w:pict>
          <v:shape style="position:absolute;margin-left:174.113556pt;margin-top:6.516727pt;width:79.45pt;height:78.850pt;mso-position-horizontal-relative:page;mso-position-vertical-relative:paragraph;z-index:-15758848" coordorigin="3482,130" coordsize="1589,1577" path="m3769,1374l3670,1434,3596,1494,3542,1551,3507,1603,3488,1647,3482,1681,3492,1702,3502,1707,3607,1707,3613,1704,3513,1704,3518,1668,3540,1619,3579,1562,3631,1499,3695,1436,3769,1374xm4162,130l4130,152,4113,201,4107,256,4107,295,4108,331,4111,369,4116,410,4123,452,4131,494,4140,538,4150,583,4162,627,4157,651,4145,692,4126,748,4100,814,4068,891,4031,974,3990,1062,3946,1153,3899,1244,3850,1333,3799,1418,3749,1496,3698,1564,3648,1622,3600,1666,3555,1694,3513,1704,3613,1704,3629,1695,3676,1656,3729,1599,3788,1523,3853,1427,3924,1309,3939,1304,3924,1304,3987,1193,4038,1094,4081,1008,4115,933,4142,868,4162,810,4178,760,4191,716,4247,716,4240,699,4212,622,4223,547,4224,540,4191,540,4172,469,4160,400,4152,336,4150,278,4151,253,4154,212,4165,169,4184,140,4224,140,4203,132,4162,130xm5030,1301l5015,1304,5003,1312,4994,1324,4991,1340,4994,1355,5003,1367,5015,1374,5030,1377,5047,1374,5055,1369,5030,1369,5018,1367,5009,1361,5002,1351,4999,1340,5002,1328,5009,1318,5018,1312,5030,1309,5055,1309,5047,1304,5030,1301xm5055,1309l5030,1309,5043,1312,5053,1318,5059,1328,5061,1340,5059,1351,5053,1361,5043,1367,5030,1369,5055,1369,5059,1367,5068,1355,5070,1340,5068,1324,5059,1312,5055,1309xm5041,1314l5015,1314,5015,1361,5024,1361,5024,1343,5044,1343,5043,1342,5038,1340,5048,1337,5024,1337,5024,1324,5047,1324,5046,1321,5041,1314xm5044,1343l5033,1343,5036,1348,5038,1353,5040,1361,5048,1361,5046,1353,5046,1347,5044,1343xm5047,1324l5035,1324,5038,1326,5038,1335,5033,1337,5048,1337,5048,1330,5047,1324xm4247,716l4191,716,4240,824,4291,911,4343,981,4394,1036,4442,1078,4485,1109,4522,1131,4451,1145,4377,1160,4302,1178,4225,1199,4149,1221,4073,1247,3998,1274,3924,1304,3939,1304,3997,1285,4075,1263,4157,1243,4241,1224,4326,1208,4412,1194,4498,1182,4582,1172,4703,1172,4677,1161,4747,1157,4830,1155,5037,1155,4995,1133,4935,1120,4606,1120,4569,1099,4532,1076,4496,1051,4461,1026,4406,974,4356,914,4312,847,4273,775,4247,716xm4703,1172l4582,1172,4667,1211,4752,1243,4833,1267,4907,1282,4970,1287,5004,1285,5029,1278,5045,1266,5048,1261,5004,1261,4940,1254,4861,1233,4771,1201,4703,1172xm5054,1249l5045,1253,5033,1257,5019,1260,5004,1261,5048,1261,5054,1249xm5037,1155l4830,1155,4915,1159,4989,1171,5042,1194,5061,1232,5066,1220,5070,1216,5070,1204,5051,1163,5037,1155xm4800,1109l4757,1110,4710,1113,4606,1120,4935,1120,4910,1115,4800,1109xm4239,263l4230,311,4220,372,4208,448,4191,540,4224,540,4230,475,4234,405,4237,331,4239,263xm4224,140l4184,140,4202,151,4218,169,4232,196,4239,234,4245,174,4232,143,4224,140xe" filled="true" fillcolor="#ffd8d8" stroked="false">
            <v:path arrowok="t"/>
            <v:fill type="solid"/>
            <w10:wrap type="none"/>
          </v:shape>
        </w:pict>
      </w:r>
      <w:r>
        <w:rPr/>
        <w:t>PABLO</w:t>
      </w:r>
      <w:r>
        <w:rPr>
          <w:spacing w:val="1"/>
        </w:rPr>
        <w:t> </w:t>
      </w:r>
      <w:r>
        <w:rPr/>
        <w:t>CESAR</w:t>
      </w:r>
      <w:r>
        <w:rPr>
          <w:spacing w:val="1"/>
        </w:rPr>
        <w:t> </w:t>
      </w:r>
      <w:r>
        <w:rPr>
          <w:w w:val="90"/>
        </w:rPr>
        <w:t>BENETTI:717</w:t>
      </w:r>
      <w:r>
        <w:rPr>
          <w:spacing w:val="-87"/>
          <w:w w:val="90"/>
        </w:rPr>
        <w:t> </w:t>
      </w:r>
      <w:r>
        <w:rPr/>
        <w:t>94794700</w:t>
      </w:r>
    </w:p>
    <w:p>
      <w:pPr>
        <w:pStyle w:val="Heading1"/>
      </w:pPr>
      <w:r>
        <w:rPr/>
        <w:t>Pablo</w:t>
      </w:r>
      <w:r>
        <w:rPr>
          <w:spacing w:val="-1"/>
        </w:rPr>
        <w:t> </w:t>
      </w:r>
      <w:r>
        <w:rPr/>
        <w:t>Benetti</w:t>
      </w:r>
    </w:p>
    <w:p>
      <w:pPr>
        <w:pStyle w:val="BodyText"/>
        <w:spacing w:before="3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56" w:lineRule="auto" w:before="1"/>
        <w:ind w:left="90" w:right="5084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Assinado de forma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digital por PABLO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CESAR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BENETTI:71794794700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w w:val="95"/>
          <w:sz w:val="18"/>
        </w:rPr>
        <w:t>Dados:</w:t>
      </w:r>
      <w:r>
        <w:rPr>
          <w:rFonts w:ascii="Trebuchet MS"/>
          <w:spacing w:val="-11"/>
          <w:w w:val="95"/>
          <w:sz w:val="18"/>
        </w:rPr>
        <w:t> </w:t>
      </w:r>
      <w:r>
        <w:rPr>
          <w:rFonts w:ascii="Trebuchet MS"/>
          <w:w w:val="95"/>
          <w:sz w:val="18"/>
        </w:rPr>
        <w:t>2021.08.16</w:t>
      </w:r>
    </w:p>
    <w:p>
      <w:pPr>
        <w:spacing w:line="208" w:lineRule="exact" w:before="0"/>
        <w:ind w:left="90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17:55:27</w:t>
      </w:r>
      <w:r>
        <w:rPr>
          <w:rFonts w:ascii="Trebuchet MS"/>
          <w:spacing w:val="-5"/>
          <w:w w:val="95"/>
          <w:sz w:val="18"/>
        </w:rPr>
        <w:t> </w:t>
      </w:r>
      <w:r>
        <w:rPr>
          <w:rFonts w:ascii="Trebuchet MS"/>
          <w:w w:val="95"/>
          <w:sz w:val="18"/>
        </w:rPr>
        <w:t>-03'00'</w:t>
      </w:r>
    </w:p>
    <w:p>
      <w:pPr>
        <w:spacing w:after="0" w:line="208" w:lineRule="exact"/>
        <w:jc w:val="left"/>
        <w:rPr>
          <w:rFonts w:ascii="Trebuchet MS"/>
          <w:sz w:val="18"/>
        </w:rPr>
        <w:sectPr>
          <w:type w:val="continuous"/>
          <w:pgSz w:w="11910" w:h="16840"/>
          <w:pgMar w:top="960" w:bottom="280" w:left="1560" w:right="700"/>
          <w:cols w:num="2" w:equalWidth="0">
            <w:col w:w="2616" w:space="40"/>
            <w:col w:w="6994"/>
          </w:cols>
        </w:sectPr>
      </w:pPr>
    </w:p>
    <w:p>
      <w:pPr>
        <w:pStyle w:val="BodyText"/>
        <w:ind w:left="850" w:right="6525"/>
      </w:pPr>
      <w:r>
        <w:rPr/>
        <w:t>Arquiteto e Urbanista</w:t>
      </w:r>
      <w:r>
        <w:rPr>
          <w:spacing w:val="-64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85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921" w:right="-5"/>
    </w:pPr>
    <w:rPr>
      <w:rFonts w:ascii="Trebuchet MS" w:hAnsi="Trebuchet MS" w:eastAsia="Trebuchet MS" w:cs="Trebuchet MS"/>
      <w:sz w:val="33"/>
      <w:szCs w:val="3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2022-03-24T20:01:03Z</dcterms:created>
  <dcterms:modified xsi:type="dcterms:W3CDTF">2022-03-24T20:01:03Z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