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C" w:rsidRPr="007253FD" w:rsidRDefault="00C27DEE">
      <w:pPr>
        <w:rPr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F07A5E" w:rsidRPr="007253FD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F07A5E" w:rsidP="00CD5F9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</w:rPr>
              <w:t>Plenário – CAU/RJ</w:t>
            </w:r>
          </w:p>
        </w:tc>
      </w:tr>
      <w:tr w:rsidR="00F07A5E" w:rsidRPr="007253FD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F07A5E" w:rsidP="00CD5F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53FD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Critério de avaliação para definir volta ao trabalho híbrido do CAURJ</w:t>
            </w:r>
          </w:p>
        </w:tc>
      </w:tr>
    </w:tbl>
    <w:p w:rsidR="006C3BE4" w:rsidRPr="005530E0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253FD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253FD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>
        <w:rPr>
          <w:rFonts w:asciiTheme="minorHAnsi" w:hAnsiTheme="minorHAnsi" w:cstheme="minorHAnsi"/>
          <w:sz w:val="24"/>
          <w:szCs w:val="24"/>
          <w:lang w:eastAsia="pt-BR"/>
        </w:rPr>
        <w:t>00</w:t>
      </w:r>
      <w:r w:rsidR="00A14500">
        <w:rPr>
          <w:rFonts w:asciiTheme="minorHAnsi" w:hAnsiTheme="minorHAnsi" w:cstheme="minorHAnsi"/>
          <w:sz w:val="24"/>
          <w:szCs w:val="24"/>
          <w:lang w:eastAsia="pt-BR"/>
        </w:rPr>
        <w:t>4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:rsidR="006C3BE4" w:rsidRPr="007253FD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Ordinária nº 002/2022, de 08 de fevereiro de 2022, realizada </w:t>
      </w:r>
      <w:r w:rsidR="00404A4B">
        <w:rPr>
          <w:rFonts w:asciiTheme="minorHAnsi" w:eastAsia="Arial" w:hAnsiTheme="minorHAnsi" w:cstheme="minorHAnsi"/>
          <w:sz w:val="24"/>
          <w:szCs w:val="24"/>
        </w:rPr>
        <w:t>remotamente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404A4B">
        <w:rPr>
          <w:rFonts w:asciiTheme="minorHAnsi" w:eastAsia="Arial" w:hAnsiTheme="minorHAnsi" w:cstheme="minorHAnsi"/>
          <w:sz w:val="24"/>
          <w:szCs w:val="24"/>
        </w:rPr>
        <w:t>,</w:t>
      </w:r>
    </w:p>
    <w:p w:rsidR="006C3BE4" w:rsidRPr="007253FD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C3BE4" w:rsidRDefault="00936871" w:rsidP="00936871">
      <w:pPr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36871">
        <w:rPr>
          <w:rFonts w:asciiTheme="minorHAnsi" w:eastAsia="Arial" w:hAnsiTheme="minorHAnsi" w:cstheme="minorHAnsi"/>
          <w:color w:val="000000"/>
          <w:sz w:val="24"/>
          <w:szCs w:val="24"/>
        </w:rPr>
        <w:t>Considerando que a pandemia ocasionada pelo n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ovo </w:t>
      </w:r>
      <w:proofErr w:type="spellStart"/>
      <w:r>
        <w:rPr>
          <w:rFonts w:asciiTheme="minorHAnsi" w:eastAsia="Arial" w:hAnsiTheme="minorHAnsi" w:cstheme="minorHAnsi"/>
          <w:color w:val="000000"/>
          <w:sz w:val="24"/>
          <w:szCs w:val="24"/>
        </w:rPr>
        <w:t>coronavírus</w:t>
      </w:r>
      <w:proofErr w:type="spellEnd"/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segue em curso </w:t>
      </w:r>
      <w:r w:rsidRPr="00936871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e exige a adoção de medidas de cunho administrativo e normativo por parte de todos os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entes da Administração Pública.</w:t>
      </w:r>
    </w:p>
    <w:p w:rsidR="00936871" w:rsidRPr="007253FD" w:rsidRDefault="00936871" w:rsidP="00936871">
      <w:pPr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eastAsia="Arial" w:hAnsiTheme="minorHAnsi" w:cstheme="minorHAnsi"/>
          <w:color w:val="000000"/>
          <w:sz w:val="24"/>
          <w:szCs w:val="24"/>
        </w:rPr>
        <w:t>Considerando a necessidade de estabelecer critérios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objetivos para a volta das atividades híbridas e presenciais dos funcionários e Conselheiros do CAU/RJ.</w:t>
      </w:r>
    </w:p>
    <w:p w:rsidR="006C3BE4" w:rsidRPr="007253FD" w:rsidRDefault="006C3BE4" w:rsidP="006C3BE4">
      <w:pPr>
        <w:ind w:firstLine="1560"/>
        <w:rPr>
          <w:rFonts w:asciiTheme="minorHAnsi" w:eastAsia="Arial" w:hAnsiTheme="minorHAnsi" w:cstheme="minorHAnsi"/>
          <w:sz w:val="24"/>
          <w:szCs w:val="24"/>
        </w:rPr>
      </w:pPr>
    </w:p>
    <w:p w:rsidR="00735665" w:rsidRDefault="00735665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b/>
          <w:sz w:val="24"/>
          <w:szCs w:val="24"/>
        </w:rPr>
        <w:t>DELIBEROU:</w:t>
      </w:r>
    </w:p>
    <w:p w:rsidR="00735665" w:rsidRPr="007253FD" w:rsidRDefault="00735665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7253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253FD">
        <w:rPr>
          <w:rFonts w:asciiTheme="minorHAnsi" w:eastAsia="Arial" w:hAnsiTheme="minorHAnsi" w:cstheme="minorHAnsi"/>
          <w:color w:val="000000"/>
          <w:sz w:val="24"/>
          <w:szCs w:val="24"/>
        </w:rPr>
        <w:t>Adotar como critério de avaliação as informações da Secretaria de Saúde do Estado do Rio de Janeiro que definem as seguintes categorias: bandeira verde (risco muito baixo) bandeira amarela (risco baixo) bandeira laranja (risco moderado) bandeira vermelha (risco alto) e bandeira roxa (risco muito alto).</w:t>
      </w:r>
    </w:p>
    <w:p w:rsidR="006C3BE4" w:rsidRPr="007253FD" w:rsidRDefault="006C3BE4" w:rsidP="006C3BE4">
      <w:pPr>
        <w:pBdr>
          <w:top w:val="nil"/>
          <w:left w:val="nil"/>
          <w:bottom w:val="nil"/>
          <w:right w:val="nil"/>
          <w:between w:val="nil"/>
        </w:pBdr>
        <w:ind w:left="714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6C3BE4" w:rsidRPr="007253FD" w:rsidRDefault="006C3BE4" w:rsidP="005F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253FD">
        <w:rPr>
          <w:rFonts w:asciiTheme="minorHAnsi" w:eastAsia="Arial" w:hAnsiTheme="minorHAnsi" w:cstheme="minorHAnsi"/>
          <w:color w:val="000000"/>
          <w:sz w:val="24"/>
          <w:szCs w:val="24"/>
        </w:rPr>
        <w:t>Adotar como indicador definidor da volta ao trabalho híbrido a bandeira amarela ou verde, no setor do estado Metropolitana I</w:t>
      </w:r>
      <w:r w:rsidR="007253FD" w:rsidRPr="007253FD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</w:p>
    <w:p w:rsidR="007253FD" w:rsidRPr="007253FD" w:rsidRDefault="007253FD" w:rsidP="007253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1C4389" w:rsidRDefault="006C3BE4" w:rsidP="001C43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253FD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Condicionar a realização do CAU Itinerante </w:t>
      </w:r>
      <w:r w:rsidRPr="007253FD">
        <w:rPr>
          <w:rFonts w:asciiTheme="minorHAnsi" w:eastAsia="Arial" w:hAnsiTheme="minorHAnsi" w:cstheme="minorHAnsi"/>
          <w:sz w:val="24"/>
          <w:szCs w:val="24"/>
        </w:rPr>
        <w:t>à existência</w:t>
      </w:r>
      <w:r w:rsidRPr="007253FD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de bandeira amarela ou verde na região de realização, no momento previsto para esta atividade. </w:t>
      </w:r>
    </w:p>
    <w:p w:rsidR="001C4389" w:rsidRDefault="001C4389" w:rsidP="001C4389">
      <w:pPr>
        <w:pStyle w:val="PargrafodaLista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01795F" w:rsidRDefault="001C4389" w:rsidP="001C43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C4389">
        <w:rPr>
          <w:rFonts w:asciiTheme="minorHAnsi" w:eastAsia="Arial" w:hAnsiTheme="minorHAnsi" w:cstheme="minorHAnsi"/>
          <w:color w:val="000000"/>
          <w:sz w:val="24"/>
          <w:szCs w:val="24"/>
        </w:rPr>
        <w:t>A definição do momento de volta às atividades híbridas ou presenciais recebe</w:t>
      </w:r>
      <w:r w:rsidRPr="001C438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rá </w:t>
      </w:r>
      <w:r w:rsidRPr="001C4389">
        <w:rPr>
          <w:rFonts w:asciiTheme="minorHAnsi" w:eastAsia="Arial" w:hAnsiTheme="minorHAnsi" w:cstheme="minorHAnsi"/>
          <w:color w:val="000000"/>
          <w:sz w:val="24"/>
          <w:szCs w:val="24"/>
        </w:rPr>
        <w:t>avaliação semanal pela presidência de a</w:t>
      </w:r>
      <w:r w:rsidRPr="001C438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cordo com cada boletim de saúde </w:t>
      </w:r>
      <w:r w:rsidRPr="001C438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publicado pela Secretaria de Saúde do Estado do Rio de Janeiro. A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definição</w:t>
      </w:r>
      <w:bookmarkStart w:id="0" w:name="_GoBack"/>
      <w:bookmarkEnd w:id="0"/>
      <w:r w:rsidRPr="001C438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de mudança de remoto para híbrido ou presencial somente será </w:t>
      </w:r>
      <w:r w:rsidRPr="001C438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efetivada na semana seguinte a </w:t>
      </w:r>
      <w:r w:rsidRPr="001C4389">
        <w:rPr>
          <w:rFonts w:asciiTheme="minorHAnsi" w:eastAsia="Arial" w:hAnsiTheme="minorHAnsi" w:cstheme="minorHAnsi"/>
          <w:color w:val="000000"/>
          <w:sz w:val="24"/>
          <w:szCs w:val="24"/>
        </w:rPr>
        <w:t>avaliação.</w:t>
      </w:r>
    </w:p>
    <w:p w:rsidR="001C4389" w:rsidRPr="001C4389" w:rsidRDefault="001C4389" w:rsidP="001C43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6C3BE4" w:rsidRDefault="006C3BE4" w:rsidP="006C3B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Considerando que as ações de fiscalização externas possuem um protocolo próprio que confere autonomia aos fiscais para que identifiquem as situações de risco caso a caso, e que estes funcionários se deslocam no carro do CAU/RJ sem necessidade de uso de transporte público, estas seguirão em andamento independente das classificações do mapa de risco estadual.</w:t>
      </w:r>
    </w:p>
    <w:p w:rsidR="00735665" w:rsidRDefault="00735665" w:rsidP="00735665">
      <w:pPr>
        <w:pStyle w:val="PargrafodaLista"/>
        <w:rPr>
          <w:rFonts w:asciiTheme="minorHAnsi" w:eastAsia="Arial" w:hAnsiTheme="minorHAnsi" w:cstheme="minorHAnsi"/>
          <w:sz w:val="24"/>
          <w:szCs w:val="24"/>
        </w:rPr>
      </w:pPr>
    </w:p>
    <w:p w:rsidR="00735665" w:rsidRPr="007253FD" w:rsidRDefault="00735665" w:rsidP="007356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735665" w:rsidRDefault="007253FD" w:rsidP="00735665">
      <w:pPr>
        <w:pStyle w:val="PargrafodaLista"/>
        <w:numPr>
          <w:ilvl w:val="0"/>
          <w:numId w:val="1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1" w:name="_heading=h.30j0zll" w:colFirst="0" w:colLast="0"/>
      <w:bookmarkEnd w:id="1"/>
      <w:r w:rsidRPr="007253FD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Reavaliar esta Deliberação na Plenária </w:t>
      </w:r>
      <w:r w:rsidR="00735665">
        <w:rPr>
          <w:rFonts w:asciiTheme="minorHAnsi" w:eastAsia="Arial" w:hAnsiTheme="minorHAnsi" w:cstheme="minorHAnsi"/>
          <w:sz w:val="24"/>
          <w:szCs w:val="24"/>
        </w:rPr>
        <w:t xml:space="preserve">Ordinária </w:t>
      </w:r>
      <w:r w:rsidR="005530E0">
        <w:rPr>
          <w:rFonts w:asciiTheme="minorHAnsi" w:eastAsia="Arial" w:hAnsiTheme="minorHAnsi" w:cstheme="minorHAnsi"/>
          <w:sz w:val="24"/>
          <w:szCs w:val="24"/>
        </w:rPr>
        <w:t>do CAURJ em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março de 2022.</w:t>
      </w:r>
    </w:p>
    <w:p w:rsidR="00735665" w:rsidRDefault="00735665" w:rsidP="00735665">
      <w:pPr>
        <w:pStyle w:val="PargrafodaLista"/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735665" w:rsidRDefault="00735665" w:rsidP="00735665">
      <w:pPr>
        <w:pStyle w:val="PargrafodaLista"/>
        <w:numPr>
          <w:ilvl w:val="0"/>
          <w:numId w:val="1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Aprovar esta deliberação por aclamação.</w:t>
      </w:r>
    </w:p>
    <w:p w:rsidR="006C3BE4" w:rsidRPr="00735665" w:rsidRDefault="006C3BE4" w:rsidP="00735665">
      <w:pPr>
        <w:spacing w:before="120" w:after="120"/>
        <w:ind w:left="36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4449BE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Rio de Janeiro, 08 de fevereiro de 2022.</w:t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2" w:name="_heading=h.gjdgxs" w:colFirst="0" w:colLast="0"/>
      <w:bookmarkEnd w:id="2"/>
      <w:r w:rsidRPr="007253FD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71409" w:rsidRPr="007253FD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4449BE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253FD" w:rsidRDefault="006C3BE4" w:rsidP="004449BE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6C3BE4" w:rsidRPr="007253FD" w:rsidRDefault="006C3BE4" w:rsidP="004449BE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:rsidR="00F07A5E" w:rsidRPr="007253FD" w:rsidRDefault="00F07A5E" w:rsidP="00F07A5E">
      <w:pPr>
        <w:jc w:val="center"/>
        <w:rPr>
          <w:sz w:val="24"/>
          <w:szCs w:val="24"/>
        </w:rPr>
      </w:pPr>
    </w:p>
    <w:sectPr w:rsidR="00F07A5E" w:rsidRPr="007253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EE" w:rsidRDefault="00C27DEE" w:rsidP="00F07A5E">
      <w:r>
        <w:separator/>
      </w:r>
    </w:p>
  </w:endnote>
  <w:endnote w:type="continuationSeparator" w:id="0">
    <w:p w:rsidR="00C27DEE" w:rsidRDefault="00C27DEE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EE" w:rsidRDefault="00C27DEE" w:rsidP="00F07A5E">
      <w:r>
        <w:separator/>
      </w:r>
    </w:p>
  </w:footnote>
  <w:footnote w:type="continuationSeparator" w:id="0">
    <w:p w:rsidR="00C27DEE" w:rsidRDefault="00C27DEE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EF3"/>
    <w:multiLevelType w:val="hybridMultilevel"/>
    <w:tmpl w:val="6EB215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1795F"/>
    <w:rsid w:val="000941EA"/>
    <w:rsid w:val="00176F51"/>
    <w:rsid w:val="001C4389"/>
    <w:rsid w:val="00207044"/>
    <w:rsid w:val="00317241"/>
    <w:rsid w:val="00404A4B"/>
    <w:rsid w:val="004449BE"/>
    <w:rsid w:val="004963C6"/>
    <w:rsid w:val="004C5ED9"/>
    <w:rsid w:val="004C6817"/>
    <w:rsid w:val="005530E0"/>
    <w:rsid w:val="006C3BE4"/>
    <w:rsid w:val="007253FD"/>
    <w:rsid w:val="00735665"/>
    <w:rsid w:val="00936871"/>
    <w:rsid w:val="00971409"/>
    <w:rsid w:val="00A12D0A"/>
    <w:rsid w:val="00A14500"/>
    <w:rsid w:val="00A21331"/>
    <w:rsid w:val="00A34422"/>
    <w:rsid w:val="00B51C41"/>
    <w:rsid w:val="00C27DEE"/>
    <w:rsid w:val="00C37065"/>
    <w:rsid w:val="00C877C4"/>
    <w:rsid w:val="00E56876"/>
    <w:rsid w:val="00F07A5E"/>
    <w:rsid w:val="00F7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EE7E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0" ma:contentTypeDescription="Crie um novo documento." ma:contentTypeScope="" ma:versionID="415dc431206fdc6e31ee54244d30d944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d70f1711de4dd63cafbcf6340ef5dca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33AC4-45F4-4849-9CAB-3518E3456A90}"/>
</file>

<file path=customXml/itemProps2.xml><?xml version="1.0" encoding="utf-8"?>
<ds:datastoreItem xmlns:ds="http://schemas.openxmlformats.org/officeDocument/2006/customXml" ds:itemID="{AA5EFACB-2A07-49C6-8504-2EED9B7D1CFC}"/>
</file>

<file path=customXml/itemProps3.xml><?xml version="1.0" encoding="utf-8"?>
<ds:datastoreItem xmlns:ds="http://schemas.openxmlformats.org/officeDocument/2006/customXml" ds:itemID="{3A7E1344-6CC9-419A-BB65-4FB507771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11</cp:revision>
  <cp:lastPrinted>2022-02-11T14:30:00Z</cp:lastPrinted>
  <dcterms:created xsi:type="dcterms:W3CDTF">2022-02-10T22:03:00Z</dcterms:created>
  <dcterms:modified xsi:type="dcterms:W3CDTF">2022-02-11T14:36:00Z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