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9" w:rsidRDefault="00367ABA">
      <w:pPr>
        <w:pStyle w:val="Corpodetexto"/>
        <w:spacing w:line="158" w:lineRule="exact"/>
        <w:ind w:left="8403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  <w:lang w:val="pt-BR" w:eastAsia="pt-BR" w:bidi="ar-SA"/>
        </w:rPr>
        <w:drawing>
          <wp:inline distT="0" distB="0" distL="0" distR="0">
            <wp:extent cx="525780" cy="100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59" w:rsidRDefault="00367ABA">
      <w:pPr>
        <w:pStyle w:val="Corpodetexto"/>
        <w:spacing w:before="5"/>
        <w:rPr>
          <w:rFonts w:ascii="Times New Roman"/>
          <w:sz w:val="17"/>
        </w:rPr>
      </w:pPr>
      <w:r>
        <w:pict>
          <v:shape id="_x0000_s1035" style="position:absolute;margin-left:468pt;margin-top:12.5pt;width:90pt;height:.1pt;z-index:-251658240;mso-wrap-distance-left:0;mso-wrap-distance-right:0;mso-position-horizontal-relative:page" coordorigin="9360,250" coordsize="1800,0" path="m9360,250r1800,e" filled="f" strokecolor="#444b57" strokeweight=".96pt">
            <v:path arrowok="t"/>
            <w10:wrap type="topAndBottom" anchorx="page"/>
          </v:shape>
        </w:pict>
      </w:r>
    </w:p>
    <w:p w:rsidR="008F4F59" w:rsidRDefault="00367ABA">
      <w:pPr>
        <w:tabs>
          <w:tab w:val="left" w:pos="9420"/>
        </w:tabs>
        <w:spacing w:before="56"/>
        <w:ind w:left="7537"/>
        <w:rPr>
          <w:sz w:val="19"/>
        </w:rPr>
      </w:pPr>
      <w:r>
        <w:rPr>
          <w:color w:val="2A2A2A"/>
          <w:sz w:val="19"/>
        </w:rPr>
        <w:t>FI.</w:t>
      </w:r>
      <w:r>
        <w:rPr>
          <w:color w:val="2A2A2A"/>
          <w:spacing w:val="-7"/>
          <w:sz w:val="19"/>
        </w:rPr>
        <w:t xml:space="preserve"> </w:t>
      </w:r>
      <w:r>
        <w:rPr>
          <w:color w:val="383838"/>
          <w:sz w:val="19"/>
        </w:rPr>
        <w:t>:</w:t>
      </w:r>
      <w:proofErr w:type="gramStart"/>
      <w:r>
        <w:rPr>
          <w:color w:val="383838"/>
          <w:spacing w:val="-3"/>
          <w:sz w:val="19"/>
        </w:rPr>
        <w:t xml:space="preserve"> </w:t>
      </w:r>
      <w:r>
        <w:rPr>
          <w:color w:val="383838"/>
          <w:sz w:val="19"/>
          <w:u w:val="single" w:color="4B4B4F"/>
        </w:rPr>
        <w:t xml:space="preserve"> </w:t>
      </w:r>
      <w:proofErr w:type="gramEnd"/>
      <w:r>
        <w:rPr>
          <w:color w:val="383838"/>
          <w:sz w:val="19"/>
          <w:u w:val="single" w:color="4B4B4F"/>
        </w:rPr>
        <w:tab/>
      </w:r>
    </w:p>
    <w:p w:rsidR="008F4F59" w:rsidRDefault="00367ABA">
      <w:pPr>
        <w:tabs>
          <w:tab w:val="left" w:pos="10172"/>
        </w:tabs>
        <w:spacing w:before="44"/>
        <w:ind w:left="7538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3502152</wp:posOffset>
            </wp:positionH>
            <wp:positionV relativeFrom="paragraph">
              <wp:posOffset>-238133</wp:posOffset>
            </wp:positionV>
            <wp:extent cx="681227" cy="7360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  <w:sz w:val="18"/>
        </w:rPr>
        <w:t>R</w:t>
      </w:r>
      <w:r>
        <w:rPr>
          <w:color w:val="232323"/>
          <w:spacing w:val="-18"/>
          <w:w w:val="105"/>
          <w:sz w:val="18"/>
        </w:rPr>
        <w:t xml:space="preserve"> </w:t>
      </w:r>
      <w:r>
        <w:rPr>
          <w:color w:val="1F1F1F"/>
          <w:spacing w:val="9"/>
          <w:w w:val="105"/>
          <w:sz w:val="18"/>
        </w:rPr>
        <w:t>u</w:t>
      </w:r>
      <w:r>
        <w:rPr>
          <w:spacing w:val="9"/>
          <w:w w:val="105"/>
          <w:sz w:val="18"/>
        </w:rPr>
        <w:t>b</w:t>
      </w:r>
      <w:r>
        <w:rPr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r</w:t>
      </w:r>
      <w:r>
        <w:rPr>
          <w:color w:val="363636"/>
          <w:spacing w:val="-22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i</w:t>
      </w:r>
      <w:r>
        <w:rPr>
          <w:color w:val="161616"/>
          <w:spacing w:val="-1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ca</w:t>
      </w:r>
      <w:proofErr w:type="gramEnd"/>
      <w:r>
        <w:rPr>
          <w:w w:val="105"/>
          <w:sz w:val="18"/>
        </w:rPr>
        <w:t>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4B4B4F"/>
        </w:rPr>
        <w:t xml:space="preserve"> </w:t>
      </w:r>
      <w:r>
        <w:rPr>
          <w:sz w:val="18"/>
          <w:u w:val="single" w:color="4B4B4F"/>
        </w:rPr>
        <w:tab/>
      </w:r>
    </w:p>
    <w:p w:rsidR="008F4F59" w:rsidRDefault="008F4F59">
      <w:pPr>
        <w:pStyle w:val="Corpodetexto"/>
        <w:rPr>
          <w:sz w:val="20"/>
        </w:rPr>
      </w:pPr>
    </w:p>
    <w:p w:rsidR="008F4F59" w:rsidRDefault="008F4F59">
      <w:pPr>
        <w:pStyle w:val="Corpodetexto"/>
        <w:spacing w:before="10"/>
        <w:rPr>
          <w:sz w:val="21"/>
        </w:rPr>
      </w:pPr>
    </w:p>
    <w:p w:rsidR="008F4F59" w:rsidRDefault="00367ABA">
      <w:pPr>
        <w:pStyle w:val="Corpodetexto"/>
        <w:spacing w:before="90" w:line="247" w:lineRule="exact"/>
        <w:ind w:left="1522" w:right="173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SERVIÇO PÚBLICO FEDERAL</w:t>
      </w:r>
    </w:p>
    <w:p w:rsidR="008F4F59" w:rsidRDefault="00367ABA">
      <w:pPr>
        <w:pStyle w:val="Corpodetexto"/>
        <w:spacing w:line="247" w:lineRule="exact"/>
        <w:ind w:left="1522" w:right="1732"/>
        <w:jc w:val="center"/>
        <w:rPr>
          <w:rFonts w:ascii="Times New Roman"/>
        </w:rPr>
      </w:pPr>
      <w:r>
        <w:rPr>
          <w:rFonts w:ascii="Times New Roman"/>
          <w:w w:val="95"/>
        </w:rPr>
        <w:t xml:space="preserve">CONSELHO DE ARQUITETURA E URBANISMO </w:t>
      </w:r>
      <w:r>
        <w:rPr>
          <w:rFonts w:ascii="Times New Roman"/>
          <w:color w:val="1C1C1C"/>
          <w:w w:val="95"/>
        </w:rPr>
        <w:t xml:space="preserve">DO </w:t>
      </w:r>
      <w:r>
        <w:rPr>
          <w:rFonts w:ascii="Times New Roman"/>
          <w:w w:val="95"/>
        </w:rPr>
        <w:t>RIO DE JANEIRO</w:t>
      </w:r>
    </w:p>
    <w:p w:rsidR="008F4F59" w:rsidRDefault="008F4F59">
      <w:pPr>
        <w:pStyle w:val="Corpodetexto"/>
        <w:spacing w:before="5"/>
        <w:rPr>
          <w:rFonts w:ascii="Times New Roman"/>
          <w:sz w:val="20"/>
        </w:rPr>
      </w:pPr>
    </w:p>
    <w:p w:rsidR="008F4F59" w:rsidRDefault="00BF568C">
      <w:pPr>
        <w:pStyle w:val="Ttulo1"/>
        <w:spacing w:line="381" w:lineRule="auto"/>
        <w:ind w:left="366" w:right="5887"/>
      </w:pPr>
      <w:r>
        <w:rPr>
          <w:noProof/>
          <w:lang w:val="pt-BR" w:eastAsia="pt-BR" w:bidi="ar-SA"/>
        </w:rPr>
        <w:pict>
          <v:rect id="_x0000_s1037" style="position:absolute;left:0;text-align:left;margin-left:208.65pt;margin-top:13.95pt;width:146.5pt;height:16.3pt;z-index:251663360" fillcolor="black [3200]" strokecolor="white [3212]" strokeweight="3pt">
            <v:shadow type="perspective" color="#7f7f7f [1601]" opacity=".5" offset="1pt" offset2="-1pt"/>
          </v:rect>
        </w:pict>
      </w:r>
      <w:r w:rsidR="00367ABA">
        <w:t>PROCESSO N-° 2019-1-0031 PROTOCOLO</w:t>
      </w:r>
      <w:r w:rsidR="00367ABA">
        <w:rPr>
          <w:color w:val="1C1C1C"/>
        </w:rPr>
        <w:t xml:space="preserve">№ </w:t>
      </w:r>
      <w:r w:rsidR="00367ABA">
        <w:t>809614/2019</w:t>
      </w:r>
    </w:p>
    <w:p w:rsidR="008F4F59" w:rsidRDefault="00367ABA">
      <w:pPr>
        <w:spacing w:line="274" w:lineRule="exact"/>
        <w:ind w:left="359"/>
        <w:rPr>
          <w:b/>
          <w:sz w:val="23"/>
        </w:rPr>
      </w:pPr>
      <w:r>
        <w:rPr>
          <w:b/>
          <w:w w:val="105"/>
          <w:sz w:val="23"/>
        </w:rPr>
        <w:t xml:space="preserve">INTERESSADO: </w:t>
      </w:r>
      <w:bookmarkStart w:id="0" w:name="_GoBack"/>
      <w:bookmarkEnd w:id="0"/>
    </w:p>
    <w:p w:rsidR="008F4F59" w:rsidRDefault="008F4F59">
      <w:pPr>
        <w:pStyle w:val="Corpodetexto"/>
        <w:rPr>
          <w:b/>
          <w:sz w:val="22"/>
        </w:rPr>
      </w:pPr>
    </w:p>
    <w:p w:rsidR="008F4F59" w:rsidRDefault="008F4F59">
      <w:pPr>
        <w:pStyle w:val="Corpodetexto"/>
        <w:rPr>
          <w:b/>
          <w:sz w:val="26"/>
        </w:rPr>
      </w:pPr>
    </w:p>
    <w:p w:rsidR="008F4F59" w:rsidRDefault="00367ABA">
      <w:pPr>
        <w:spacing w:before="1"/>
        <w:ind w:left="1571" w:right="1732"/>
        <w:jc w:val="center"/>
        <w:rPr>
          <w:sz w:val="28"/>
        </w:rPr>
      </w:pPr>
      <w:r>
        <w:rPr>
          <w:sz w:val="28"/>
        </w:rPr>
        <w:t xml:space="preserve">Deliberação da Comissão de Ensino </w:t>
      </w:r>
      <w:r>
        <w:rPr>
          <w:color w:val="111111"/>
          <w:sz w:val="28"/>
        </w:rPr>
        <w:t xml:space="preserve">e </w:t>
      </w:r>
      <w:r>
        <w:rPr>
          <w:sz w:val="28"/>
        </w:rPr>
        <w:t>Formação - CEF CAU/RJ</w:t>
      </w:r>
    </w:p>
    <w:p w:rsidR="008F4F59" w:rsidRDefault="00367ABA">
      <w:pPr>
        <w:pStyle w:val="Corpodetexto"/>
        <w:spacing w:before="181"/>
        <w:ind w:left="1507" w:right="1732"/>
        <w:jc w:val="center"/>
      </w:pPr>
      <w:r>
        <w:t>№</w:t>
      </w:r>
      <w:proofErr w:type="gramStart"/>
      <w:r>
        <w:t xml:space="preserve">   </w:t>
      </w:r>
      <w:proofErr w:type="gramEnd"/>
      <w:r>
        <w:t>002 /2019</w:t>
      </w:r>
    </w:p>
    <w:p w:rsidR="008F4F59" w:rsidRDefault="008F4F59">
      <w:pPr>
        <w:pStyle w:val="Corpodetexto"/>
        <w:rPr>
          <w:sz w:val="22"/>
        </w:rPr>
      </w:pPr>
    </w:p>
    <w:p w:rsidR="008F4F59" w:rsidRDefault="008F4F59">
      <w:pPr>
        <w:pStyle w:val="Corpodetexto"/>
        <w:rPr>
          <w:sz w:val="22"/>
        </w:rPr>
      </w:pPr>
    </w:p>
    <w:p w:rsidR="008F4F59" w:rsidRDefault="008F4F59">
      <w:pPr>
        <w:pStyle w:val="Corpodetexto"/>
        <w:spacing w:before="10"/>
        <w:rPr>
          <w:sz w:val="20"/>
        </w:rPr>
      </w:pPr>
    </w:p>
    <w:p w:rsidR="008F4F59" w:rsidRDefault="00367ABA">
      <w:pPr>
        <w:pStyle w:val="Corpodetexto"/>
        <w:spacing w:line="261" w:lineRule="auto"/>
        <w:ind w:left="342" w:right="590" w:firstLine="713"/>
        <w:jc w:val="both"/>
      </w:pPr>
      <w:r>
        <w:t>Considerando a Lei n° 12.378, de 31 de dezembro de 2010, que regulamenta o exercício da Arquitetura</w:t>
      </w:r>
      <w:r>
        <w:rPr>
          <w:spacing w:val="-25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Urbanismo;</w:t>
      </w:r>
      <w:r>
        <w:rPr>
          <w:spacing w:val="-22"/>
        </w:rPr>
        <w:t xml:space="preserve"> </w:t>
      </w:r>
      <w:r>
        <w:t>cria</w:t>
      </w:r>
      <w:r>
        <w:rPr>
          <w:spacing w:val="-30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Conselho</w:t>
      </w:r>
      <w:r>
        <w:rPr>
          <w:spacing w:val="-24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Arquitetura</w:t>
      </w:r>
      <w:r>
        <w:rPr>
          <w:spacing w:val="-2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Urbanismo</w:t>
      </w:r>
      <w:r>
        <w:rPr>
          <w:spacing w:val="-19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Brasil</w:t>
      </w:r>
      <w:r>
        <w:rPr>
          <w:spacing w:val="-30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CAU/BR</w:t>
      </w:r>
      <w:r>
        <w:rPr>
          <w:spacing w:val="-27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29"/>
        </w:rPr>
        <w:t xml:space="preserve"> </w:t>
      </w:r>
      <w:r>
        <w:t>os</w:t>
      </w:r>
      <w:r>
        <w:rPr>
          <w:spacing w:val="-31"/>
        </w:rPr>
        <w:t xml:space="preserve"> </w:t>
      </w:r>
      <w:r>
        <w:t>Conselhos de</w:t>
      </w:r>
      <w:r>
        <w:rPr>
          <w:spacing w:val="-17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Urbanismo</w:t>
      </w:r>
      <w:r>
        <w:rPr>
          <w:spacing w:val="-4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Estados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Distrito</w:t>
      </w:r>
      <w:r>
        <w:rPr>
          <w:spacing w:val="-17"/>
        </w:rPr>
        <w:t xml:space="preserve"> </w:t>
      </w:r>
      <w:r>
        <w:t>Federal</w:t>
      </w:r>
      <w:r>
        <w:rPr>
          <w:spacing w:val="-23"/>
        </w:rPr>
        <w:t xml:space="preserve"> </w:t>
      </w:r>
      <w:r>
        <w:t>—</w:t>
      </w:r>
      <w:r>
        <w:rPr>
          <w:spacing w:val="-27"/>
        </w:rPr>
        <w:t xml:space="preserve"> </w:t>
      </w:r>
      <w:r>
        <w:t>CAUs,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dá</w:t>
      </w:r>
      <w:r>
        <w:rPr>
          <w:spacing w:val="-19"/>
        </w:rPr>
        <w:t xml:space="preserve"> </w:t>
      </w:r>
      <w:r>
        <w:t>outras</w:t>
      </w:r>
      <w:r>
        <w:rPr>
          <w:spacing w:val="-14"/>
        </w:rPr>
        <w:t xml:space="preserve"> </w:t>
      </w:r>
      <w:r>
        <w:t>providências;</w:t>
      </w:r>
    </w:p>
    <w:p w:rsidR="008F4F59" w:rsidRDefault="008F4F59">
      <w:pPr>
        <w:pStyle w:val="Corpodetexto"/>
        <w:spacing w:before="4"/>
        <w:rPr>
          <w:sz w:val="20"/>
        </w:rPr>
      </w:pPr>
    </w:p>
    <w:p w:rsidR="008F4F59" w:rsidRDefault="00367ABA">
      <w:pPr>
        <w:pStyle w:val="Corpodetexto"/>
        <w:spacing w:before="1" w:line="261" w:lineRule="auto"/>
        <w:ind w:left="335" w:right="604" w:firstLine="719"/>
        <w:jc w:val="both"/>
      </w:pPr>
      <w:r>
        <w:t>Considerando</w:t>
      </w:r>
      <w:r>
        <w:rPr>
          <w:spacing w:val="-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CAU/BR</w:t>
      </w:r>
      <w:r>
        <w:rPr>
          <w:spacing w:val="-18"/>
        </w:rPr>
        <w:t xml:space="preserve"> </w:t>
      </w:r>
      <w:r>
        <w:t>n°</w:t>
      </w:r>
      <w:r>
        <w:rPr>
          <w:spacing w:val="-23"/>
        </w:rPr>
        <w:t xml:space="preserve"> </w:t>
      </w:r>
      <w:r>
        <w:t>18,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gramStart"/>
      <w:r>
        <w:t>2</w:t>
      </w:r>
      <w:proofErr w:type="gramEnd"/>
      <w:r>
        <w:rPr>
          <w:spacing w:val="-21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março</w:t>
      </w:r>
      <w:r>
        <w:rPr>
          <w:spacing w:val="-17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2012,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dispõe</w:t>
      </w:r>
      <w:r>
        <w:rPr>
          <w:spacing w:val="-14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os</w:t>
      </w:r>
      <w:r>
        <w:rPr>
          <w:spacing w:val="-23"/>
        </w:rPr>
        <w:t xml:space="preserve"> </w:t>
      </w:r>
      <w:r>
        <w:t xml:space="preserve">registros definitivos e temporários de profissionais no Conselho de Arquitetura </w:t>
      </w:r>
      <w:r>
        <w:rPr>
          <w:color w:val="0F0F0F"/>
        </w:rPr>
        <w:t xml:space="preserve">e </w:t>
      </w:r>
      <w:r>
        <w:t>Urbanismo e dá outras providências;</w:t>
      </w:r>
    </w:p>
    <w:p w:rsidR="008F4F59" w:rsidRDefault="008F4F59">
      <w:pPr>
        <w:pStyle w:val="Corpodetexto"/>
        <w:spacing w:before="9"/>
        <w:rPr>
          <w:sz w:val="19"/>
        </w:rPr>
      </w:pPr>
    </w:p>
    <w:p w:rsidR="008F4F59" w:rsidRDefault="00367ABA">
      <w:pPr>
        <w:pStyle w:val="Corpodetexto"/>
        <w:spacing w:line="259" w:lineRule="auto"/>
        <w:ind w:left="333" w:right="605" w:firstLine="707"/>
        <w:jc w:val="both"/>
      </w:pPr>
      <w:r>
        <w:t>Considerando</w:t>
      </w:r>
      <w:r>
        <w:rPr>
          <w:spacing w:val="-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Resoluções</w:t>
      </w:r>
      <w:r>
        <w:rPr>
          <w:spacing w:val="-10"/>
        </w:rPr>
        <w:t xml:space="preserve"> </w:t>
      </w:r>
      <w:r>
        <w:t>CAU/BR</w:t>
      </w:r>
      <w:r>
        <w:rPr>
          <w:spacing w:val="-9"/>
        </w:rPr>
        <w:t xml:space="preserve"> </w:t>
      </w:r>
      <w:r>
        <w:t>n-"</w:t>
      </w:r>
      <w:r>
        <w:rPr>
          <w:spacing w:val="-15"/>
        </w:rPr>
        <w:t xml:space="preserve"> </w:t>
      </w:r>
      <w:r>
        <w:t>32,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gramStart"/>
      <w:r>
        <w:t>2</w:t>
      </w:r>
      <w:proofErr w:type="gramEnd"/>
      <w:r>
        <w:rPr>
          <w:spacing w:val="-14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agosto</w:t>
      </w:r>
      <w:r>
        <w:rPr>
          <w:spacing w:val="-1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2012;</w:t>
      </w:r>
      <w:r>
        <w:rPr>
          <w:spacing w:val="-16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t>85,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agosto</w:t>
      </w:r>
      <w:r>
        <w:rPr>
          <w:spacing w:val="-7"/>
        </w:rPr>
        <w:t xml:space="preserve"> </w:t>
      </w:r>
      <w:r>
        <w:t>de 2014, que alteram a Resolução CAU/BR n°</w:t>
      </w:r>
      <w:r>
        <w:rPr>
          <w:spacing w:val="6"/>
        </w:rPr>
        <w:t xml:space="preserve"> </w:t>
      </w:r>
      <w:r>
        <w:t>18/2012;</w:t>
      </w:r>
    </w:p>
    <w:p w:rsidR="008F4F59" w:rsidRDefault="008F4F59">
      <w:pPr>
        <w:pStyle w:val="Corpodetexto"/>
        <w:spacing w:before="6"/>
        <w:rPr>
          <w:sz w:val="20"/>
        </w:rPr>
      </w:pPr>
    </w:p>
    <w:p w:rsidR="008F4F59" w:rsidRDefault="00367ABA">
      <w:pPr>
        <w:pStyle w:val="Corpodetexto"/>
        <w:spacing w:line="259" w:lineRule="auto"/>
        <w:ind w:left="328" w:right="604" w:firstLine="712"/>
        <w:jc w:val="both"/>
      </w:pPr>
      <w:r>
        <w:t xml:space="preserve">Considerando análise do setor competente, CADREG-GERTEC — CAU/RJ e </w:t>
      </w:r>
      <w:r>
        <w:rPr>
          <w:color w:val="1A1A1A"/>
        </w:rPr>
        <w:t xml:space="preserve">o </w:t>
      </w:r>
      <w:r>
        <w:t>parecer da Conselheira Relatora Maria Lucia B</w:t>
      </w:r>
      <w:r>
        <w:t>orges de Faria;</w:t>
      </w:r>
    </w:p>
    <w:p w:rsidR="008F4F59" w:rsidRDefault="008F4F59">
      <w:pPr>
        <w:pStyle w:val="Corpodetexto"/>
        <w:spacing w:before="4"/>
        <w:rPr>
          <w:sz w:val="19"/>
        </w:rPr>
      </w:pPr>
    </w:p>
    <w:p w:rsidR="008F4F59" w:rsidRDefault="00367ABA">
      <w:pPr>
        <w:pStyle w:val="Corpodetexto"/>
        <w:spacing w:line="264" w:lineRule="auto"/>
        <w:ind w:left="321" w:right="628" w:firstLine="714"/>
        <w:jc w:val="both"/>
      </w:pPr>
      <w:r>
        <w:t>Tendo</w:t>
      </w:r>
      <w:r>
        <w:rPr>
          <w:spacing w:val="-29"/>
        </w:rPr>
        <w:t xml:space="preserve"> </w:t>
      </w:r>
      <w:r>
        <w:t>em</w:t>
      </w:r>
      <w:r>
        <w:rPr>
          <w:spacing w:val="-33"/>
        </w:rPr>
        <w:t xml:space="preserve"> </w:t>
      </w:r>
      <w:r>
        <w:t>vista</w:t>
      </w:r>
      <w:r>
        <w:rPr>
          <w:spacing w:val="-33"/>
        </w:rPr>
        <w:t xml:space="preserve"> </w:t>
      </w:r>
      <w:r>
        <w:t>que,</w:t>
      </w:r>
      <w:r>
        <w:rPr>
          <w:spacing w:val="-32"/>
        </w:rPr>
        <w:t xml:space="preserve"> </w:t>
      </w:r>
      <w:r>
        <w:t>mediante</w:t>
      </w:r>
      <w:r>
        <w:rPr>
          <w:spacing w:val="-27"/>
        </w:rPr>
        <w:t xml:space="preserve"> </w:t>
      </w:r>
      <w:r>
        <w:t>consulta</w:t>
      </w:r>
      <w:r>
        <w:rPr>
          <w:spacing w:val="-29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GERTEC</w:t>
      </w:r>
      <w:r>
        <w:rPr>
          <w:spacing w:val="-28"/>
        </w:rPr>
        <w:t xml:space="preserve"> </w:t>
      </w:r>
      <w:r>
        <w:t>à</w:t>
      </w:r>
      <w:r>
        <w:rPr>
          <w:spacing w:val="-35"/>
        </w:rPr>
        <w:t xml:space="preserve"> </w:t>
      </w:r>
      <w:r>
        <w:t>IES,</w:t>
      </w:r>
      <w:r>
        <w:rPr>
          <w:spacing w:val="-33"/>
        </w:rPr>
        <w:t xml:space="preserve"> </w:t>
      </w:r>
      <w:r>
        <w:t>não</w:t>
      </w:r>
      <w:r>
        <w:rPr>
          <w:spacing w:val="-29"/>
        </w:rPr>
        <w:t xml:space="preserve"> </w:t>
      </w:r>
      <w:r>
        <w:t>houve</w:t>
      </w:r>
      <w:r>
        <w:rPr>
          <w:spacing w:val="-28"/>
        </w:rPr>
        <w:t xml:space="preserve"> </w:t>
      </w:r>
      <w:r>
        <w:t>confirmação</w:t>
      </w:r>
      <w:r>
        <w:rPr>
          <w:spacing w:val="-26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diplomação, configurando suspeita de</w:t>
      </w:r>
      <w:r>
        <w:rPr>
          <w:spacing w:val="12"/>
        </w:rPr>
        <w:t xml:space="preserve"> </w:t>
      </w:r>
      <w:r>
        <w:t>fraude;</w:t>
      </w:r>
    </w:p>
    <w:p w:rsidR="008F4F59" w:rsidRDefault="008F4F59">
      <w:pPr>
        <w:pStyle w:val="Corpodetexto"/>
        <w:spacing w:before="6"/>
        <w:rPr>
          <w:sz w:val="25"/>
        </w:rPr>
      </w:pPr>
    </w:p>
    <w:p w:rsidR="008F4F59" w:rsidRDefault="00367ABA">
      <w:pPr>
        <w:pStyle w:val="Corpodetexto"/>
        <w:spacing w:line="261" w:lineRule="auto"/>
        <w:ind w:left="314" w:right="624" w:firstLine="719"/>
        <w:jc w:val="both"/>
      </w:pPr>
      <w:r>
        <w:rPr>
          <w:color w:val="0C0C0C"/>
        </w:rPr>
        <w:t xml:space="preserve">A </w:t>
      </w:r>
      <w:r>
        <w:t xml:space="preserve">COMISSÃO DE ENSINO E FORMAÇÃO — CEF do CAU/RJ, no uso das atribuições que Ihe conferem os Art. 110 do Regimento do CAU/RJ, com a participação </w:t>
      </w:r>
      <w:r>
        <w:rPr>
          <w:i/>
        </w:rPr>
        <w:t xml:space="preserve">ãos </w:t>
      </w:r>
      <w:r>
        <w:t>Conselheiros Alder Catunda, Rodrigo Bertamé, Mariana Bicalho, Pablo Benetti, Maria Lucia Borges de Faria, deli</w:t>
      </w:r>
      <w:r>
        <w:t xml:space="preserve">bera </w:t>
      </w:r>
      <w:r>
        <w:rPr>
          <w:color w:val="131313"/>
        </w:rPr>
        <w:t xml:space="preserve">o </w:t>
      </w:r>
      <w:r>
        <w:t xml:space="preserve">encaminhamento do processo ao setor jurídico </w:t>
      </w:r>
      <w:r>
        <w:rPr>
          <w:color w:val="0C0C0C"/>
        </w:rPr>
        <w:t xml:space="preserve">do </w:t>
      </w:r>
      <w:r>
        <w:t>CAU/RJ para análise e providências.</w:t>
      </w:r>
    </w:p>
    <w:p w:rsidR="008F4F59" w:rsidRDefault="008F4F59">
      <w:pPr>
        <w:pStyle w:val="Corpodetexto"/>
        <w:rPr>
          <w:sz w:val="20"/>
        </w:rPr>
      </w:pPr>
    </w:p>
    <w:p w:rsidR="008F4F59" w:rsidRDefault="008F4F59">
      <w:pPr>
        <w:pStyle w:val="Corpodetexto"/>
        <w:rPr>
          <w:sz w:val="20"/>
        </w:rPr>
      </w:pPr>
    </w:p>
    <w:p w:rsidR="008F4F59" w:rsidRDefault="008F4F59">
      <w:pPr>
        <w:pStyle w:val="Corpodetexto"/>
        <w:spacing w:before="3"/>
        <w:rPr>
          <w:sz w:val="27"/>
        </w:rPr>
      </w:pPr>
    </w:p>
    <w:p w:rsidR="008F4F59" w:rsidRDefault="008F4F59">
      <w:pPr>
        <w:pStyle w:val="Corpodetexto"/>
        <w:spacing w:before="11"/>
        <w:rPr>
          <w:sz w:val="15"/>
        </w:rPr>
      </w:pPr>
    </w:p>
    <w:p w:rsidR="008F4F59" w:rsidRDefault="008F4F59">
      <w:pPr>
        <w:rPr>
          <w:sz w:val="15"/>
        </w:rPr>
        <w:sectPr w:rsidR="008F4F59">
          <w:type w:val="continuous"/>
          <w:pgSz w:w="11910" w:h="16840"/>
          <w:pgMar w:top="460" w:right="620" w:bottom="280" w:left="1000" w:header="720" w:footer="720" w:gutter="0"/>
          <w:cols w:space="720"/>
        </w:sectPr>
      </w:pPr>
    </w:p>
    <w:p w:rsidR="008F4F59" w:rsidRDefault="00367ABA">
      <w:pPr>
        <w:spacing w:before="100" w:line="249" w:lineRule="auto"/>
        <w:ind w:left="142" w:right="7" w:hanging="42"/>
        <w:rPr>
          <w:rFonts w:ascii="Cambria" w:hAnsi="Cambria"/>
          <w:sz w:val="16"/>
        </w:rPr>
      </w:pPr>
      <w:r>
        <w:rPr>
          <w:rFonts w:ascii="Cambria" w:hAnsi="Cambria"/>
          <w:w w:val="95"/>
          <w:sz w:val="16"/>
        </w:rPr>
        <w:lastRenderedPageBreak/>
        <w:t xml:space="preserve">Avenida República do Chile, 230/23° andar </w:t>
      </w:r>
      <w:r>
        <w:rPr>
          <w:rFonts w:ascii="Cambria" w:hAnsi="Cambria"/>
          <w:sz w:val="16"/>
        </w:rPr>
        <w:t xml:space="preserve">Centro - Rio de Janeiro - CEP: 2003 l-l </w:t>
      </w:r>
      <w:proofErr w:type="gramStart"/>
      <w:r>
        <w:rPr>
          <w:rFonts w:ascii="Cambria" w:hAnsi="Cambria"/>
          <w:sz w:val="16"/>
        </w:rPr>
        <w:t>70</w:t>
      </w:r>
      <w:proofErr w:type="gramEnd"/>
    </w:p>
    <w:p w:rsidR="008F4F59" w:rsidRPr="00BF568C" w:rsidRDefault="00367ABA">
      <w:pPr>
        <w:tabs>
          <w:tab w:val="left" w:pos="3405"/>
        </w:tabs>
        <w:spacing w:before="133"/>
        <w:ind w:left="101"/>
        <w:rPr>
          <w:rFonts w:ascii="Consolas" w:hAnsi="Consolas"/>
          <w:sz w:val="18"/>
          <w:lang w:val="en-US"/>
        </w:rPr>
      </w:pPr>
      <w:r w:rsidRPr="00BF568C">
        <w:rPr>
          <w:lang w:val="en-US"/>
        </w:rPr>
        <w:br w:type="column"/>
      </w:r>
      <w:r w:rsidRPr="00BF568C">
        <w:rPr>
          <w:rFonts w:ascii="Times New Roman" w:hAnsi="Times New Roman"/>
          <w:position w:val="1"/>
          <w:sz w:val="17"/>
          <w:lang w:val="en-US"/>
        </w:rPr>
        <w:lastRenderedPageBreak/>
        <w:t>TEL.:</w:t>
      </w:r>
      <w:r w:rsidRPr="00BF568C">
        <w:rPr>
          <w:rFonts w:ascii="Times New Roman" w:hAnsi="Times New Roman"/>
          <w:spacing w:val="-21"/>
          <w:position w:val="1"/>
          <w:sz w:val="17"/>
          <w:lang w:val="en-US"/>
        </w:rPr>
        <w:t xml:space="preserve"> </w:t>
      </w:r>
      <w:r w:rsidRPr="00BF568C">
        <w:rPr>
          <w:rFonts w:ascii="Times New Roman" w:hAnsi="Times New Roman"/>
          <w:position w:val="1"/>
          <w:sz w:val="17"/>
          <w:lang w:val="en-US"/>
        </w:rPr>
        <w:t>(21)</w:t>
      </w:r>
      <w:r w:rsidRPr="00BF568C">
        <w:rPr>
          <w:rFonts w:ascii="Times New Roman" w:hAnsi="Times New Roman"/>
          <w:spacing w:val="-23"/>
          <w:position w:val="1"/>
          <w:sz w:val="17"/>
          <w:lang w:val="en-US"/>
        </w:rPr>
        <w:t xml:space="preserve"> </w:t>
      </w:r>
      <w:r w:rsidRPr="00BF568C">
        <w:rPr>
          <w:rFonts w:ascii="Times New Roman" w:hAnsi="Times New Roman"/>
          <w:i/>
          <w:position w:val="1"/>
          <w:sz w:val="17"/>
          <w:lang w:val="en-US"/>
        </w:rPr>
        <w:t>39</w:t>
      </w:r>
      <w:r w:rsidRPr="00BF568C">
        <w:rPr>
          <w:rFonts w:ascii="Times New Roman" w:hAnsi="Times New Roman"/>
          <w:i/>
          <w:spacing w:val="-32"/>
          <w:position w:val="1"/>
          <w:sz w:val="17"/>
          <w:lang w:val="en-US"/>
        </w:rPr>
        <w:t xml:space="preserve"> </w:t>
      </w:r>
      <w:r w:rsidRPr="00BF568C">
        <w:rPr>
          <w:rFonts w:ascii="Times New Roman" w:hAnsi="Times New Roman"/>
          <w:i/>
          <w:position w:val="1"/>
          <w:sz w:val="17"/>
          <w:lang w:val="en-US"/>
        </w:rPr>
        <w:t>í</w:t>
      </w:r>
      <w:r w:rsidRPr="00BF568C">
        <w:rPr>
          <w:rFonts w:ascii="Times New Roman" w:hAnsi="Times New Roman"/>
          <w:i/>
          <w:spacing w:val="-26"/>
          <w:position w:val="1"/>
          <w:sz w:val="17"/>
          <w:lang w:val="en-US"/>
        </w:rPr>
        <w:t xml:space="preserve"> </w:t>
      </w:r>
      <w:r w:rsidRPr="00BF568C">
        <w:rPr>
          <w:rFonts w:ascii="Times New Roman" w:hAnsi="Times New Roman"/>
          <w:i/>
          <w:position w:val="1"/>
          <w:sz w:val="17"/>
          <w:lang w:val="en-US"/>
        </w:rPr>
        <w:t>6-3925</w:t>
      </w:r>
      <w:r w:rsidRPr="00BF568C">
        <w:rPr>
          <w:rFonts w:ascii="Times New Roman" w:hAnsi="Times New Roman"/>
          <w:i/>
          <w:position w:val="1"/>
          <w:sz w:val="17"/>
          <w:lang w:val="en-US"/>
        </w:rPr>
        <w:tab/>
      </w:r>
    </w:p>
    <w:sectPr w:rsidR="008F4F59" w:rsidRPr="00BF568C">
      <w:type w:val="continuous"/>
      <w:pgSz w:w="11910" w:h="16840"/>
      <w:pgMar w:top="460" w:right="620" w:bottom="280" w:left="1000" w:header="720" w:footer="720" w:gutter="0"/>
      <w:cols w:num="2" w:space="720" w:equalWidth="0">
        <w:col w:w="2928" w:space="1207"/>
        <w:col w:w="6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4F59"/>
    <w:rsid w:val="00367ABA"/>
    <w:rsid w:val="008F4F59"/>
    <w:rsid w:val="00BF568C"/>
    <w:rsid w:val="00C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5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68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F6F4-EAFF-497F-9750-3E5827FD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5</cp:revision>
  <dcterms:created xsi:type="dcterms:W3CDTF">2021-10-06T23:45:00Z</dcterms:created>
  <dcterms:modified xsi:type="dcterms:W3CDTF">2021-10-06T23:50:00Z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2021-10-06T00:00:00Z</vt:filetime>
  </property>
</Properties>
</file>